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3C16F0" w14:textId="0748C101" w:rsidR="000571F6" w:rsidRPr="006737C7" w:rsidRDefault="000571F6" w:rsidP="00660827">
      <w:pPr>
        <w:spacing w:after="0" w:line="240" w:lineRule="auto"/>
        <w:ind w:left="-284" w:right="-472"/>
        <w:rPr>
          <w:rFonts w:ascii="Georgia" w:eastAsia="Georgia" w:hAnsi="Georgia" w:cs="Times New Roman"/>
          <w:b/>
          <w:bCs/>
          <w:i/>
          <w:sz w:val="20"/>
          <w:szCs w:val="20"/>
          <w:lang w:val="en-US" w:eastAsia="en-GB"/>
        </w:rPr>
      </w:pPr>
      <w:r w:rsidRPr="006737C7">
        <w:rPr>
          <w:rFonts w:ascii="Georgia" w:eastAsia="Georgia" w:hAnsi="Georgia" w:cs="Times New Roman"/>
          <w:b/>
          <w:bCs/>
          <w:i/>
          <w:sz w:val="20"/>
          <w:szCs w:val="20"/>
          <w:lang w:val="en-US" w:eastAsia="en-GB"/>
        </w:rPr>
        <w:t xml:space="preserve">EU Regulatory Sandbox - Draft award criteria </w:t>
      </w:r>
      <w:r w:rsidR="001904FA" w:rsidRPr="00660827">
        <w:rPr>
          <w:rFonts w:ascii="Georgia" w:eastAsia="Georgia" w:hAnsi="Georgia" w:cs="Times New Roman"/>
          <w:b/>
          <w:bCs/>
          <w:i/>
          <w:sz w:val="20"/>
          <w:szCs w:val="20"/>
          <w:lang w:val="en-US" w:eastAsia="en-GB"/>
        </w:rPr>
        <w:t>most innovative regulator or authority</w:t>
      </w:r>
    </w:p>
    <w:p w14:paraId="0848D0E7" w14:textId="77777777" w:rsidR="000571F6" w:rsidRPr="006737C7" w:rsidRDefault="000571F6" w:rsidP="00660827">
      <w:pPr>
        <w:spacing w:after="0" w:line="240" w:lineRule="auto"/>
        <w:ind w:left="-284" w:right="-472"/>
        <w:rPr>
          <w:rFonts w:ascii="Georgia" w:eastAsia="Georgia" w:hAnsi="Georgia" w:cs="Times New Roman"/>
          <w:sz w:val="20"/>
          <w:szCs w:val="20"/>
          <w:lang w:val="en-US" w:eastAsia="en-GB"/>
        </w:rPr>
      </w:pPr>
    </w:p>
    <w:p w14:paraId="0818D8A1" w14:textId="769966C5" w:rsidR="00655A91" w:rsidRPr="00660827" w:rsidRDefault="00F20B3B" w:rsidP="00660827">
      <w:pPr>
        <w:ind w:left="-284" w:right="-472"/>
        <w:rPr>
          <w:sz w:val="20"/>
          <w:szCs w:val="20"/>
          <w:lang w:val="en-US"/>
        </w:rPr>
      </w:pPr>
      <w:r w:rsidRPr="00660827">
        <w:rPr>
          <w:sz w:val="20"/>
          <w:szCs w:val="20"/>
          <w:lang w:val="en-US"/>
        </w:rPr>
        <w:t>As part of the operations of the European Blockchain Sandbox an annual non-monetary prize of recognition will be awarded to the most innovative regulator</w:t>
      </w:r>
      <w:r w:rsidR="00BA014C" w:rsidRPr="00660827">
        <w:rPr>
          <w:sz w:val="20"/>
          <w:szCs w:val="20"/>
          <w:lang w:val="en-US"/>
        </w:rPr>
        <w:t xml:space="preserve"> </w:t>
      </w:r>
      <w:r w:rsidR="001904FA" w:rsidRPr="00660827">
        <w:rPr>
          <w:sz w:val="20"/>
          <w:szCs w:val="20"/>
          <w:lang w:val="en-US"/>
        </w:rPr>
        <w:t xml:space="preserve">or </w:t>
      </w:r>
      <w:r w:rsidR="00BA014C" w:rsidRPr="00660827">
        <w:rPr>
          <w:sz w:val="20"/>
          <w:szCs w:val="20"/>
          <w:lang w:val="en-US"/>
        </w:rPr>
        <w:t>authorit</w:t>
      </w:r>
      <w:r w:rsidR="001904FA" w:rsidRPr="00660827">
        <w:rPr>
          <w:sz w:val="20"/>
          <w:szCs w:val="20"/>
          <w:lang w:val="en-US"/>
        </w:rPr>
        <w:t>y</w:t>
      </w:r>
      <w:r w:rsidR="00BA014C" w:rsidRPr="00660827">
        <w:rPr>
          <w:sz w:val="20"/>
          <w:szCs w:val="20"/>
          <w:lang w:val="en-US"/>
        </w:rPr>
        <w:t xml:space="preserve"> participating </w:t>
      </w:r>
      <w:r w:rsidRPr="00660827">
        <w:rPr>
          <w:sz w:val="20"/>
          <w:szCs w:val="20"/>
          <w:lang w:val="en-US"/>
        </w:rPr>
        <w:t>in the sandbox</w:t>
      </w:r>
      <w:r w:rsidR="00BA014C" w:rsidRPr="00660827">
        <w:rPr>
          <w:sz w:val="20"/>
          <w:szCs w:val="20"/>
          <w:lang w:val="en-US"/>
        </w:rPr>
        <w:t xml:space="preserve">. </w:t>
      </w:r>
      <w:r w:rsidR="006E4B98" w:rsidRPr="00660827">
        <w:rPr>
          <w:sz w:val="20"/>
          <w:szCs w:val="20"/>
          <w:lang w:val="en-US"/>
        </w:rPr>
        <w:t xml:space="preserve">In the event of participation by more regulators/authorities in </w:t>
      </w:r>
      <w:r w:rsidR="006D2C6C" w:rsidRPr="00660827">
        <w:rPr>
          <w:sz w:val="20"/>
          <w:szCs w:val="20"/>
          <w:lang w:val="en-US"/>
        </w:rPr>
        <w:t>the sandbox</w:t>
      </w:r>
      <w:r w:rsidR="00774366" w:rsidRPr="00660827">
        <w:rPr>
          <w:sz w:val="20"/>
          <w:szCs w:val="20"/>
          <w:lang w:val="en-US"/>
        </w:rPr>
        <w:t xml:space="preserve"> dialogue with </w:t>
      </w:r>
      <w:r w:rsidR="006D2C6C" w:rsidRPr="00660827">
        <w:rPr>
          <w:sz w:val="20"/>
          <w:szCs w:val="20"/>
          <w:lang w:val="en-US"/>
        </w:rPr>
        <w:t>a specific use case</w:t>
      </w:r>
      <w:r w:rsidR="00CB2A45">
        <w:rPr>
          <w:sz w:val="20"/>
          <w:szCs w:val="20"/>
          <w:lang w:val="en-US"/>
        </w:rPr>
        <w:t>,</w:t>
      </w:r>
      <w:r w:rsidR="006D2C6C" w:rsidRPr="00660827">
        <w:rPr>
          <w:sz w:val="20"/>
          <w:szCs w:val="20"/>
          <w:lang w:val="en-US"/>
        </w:rPr>
        <w:t xml:space="preserve"> the award may also be granted to </w:t>
      </w:r>
      <w:r w:rsidR="00EC7316" w:rsidRPr="00660827">
        <w:rPr>
          <w:sz w:val="20"/>
          <w:szCs w:val="20"/>
          <w:lang w:val="en-US"/>
        </w:rPr>
        <w:t>the joint regulators/authorities</w:t>
      </w:r>
      <w:r w:rsidRPr="00660827">
        <w:rPr>
          <w:sz w:val="20"/>
          <w:szCs w:val="20"/>
          <w:lang w:val="en-US"/>
        </w:rPr>
        <w:t xml:space="preserve">. The prize </w:t>
      </w:r>
      <w:r w:rsidR="00655A91" w:rsidRPr="00660827">
        <w:rPr>
          <w:sz w:val="20"/>
          <w:szCs w:val="20"/>
          <w:lang w:val="en-US"/>
        </w:rPr>
        <w:t xml:space="preserve">for the first cohort </w:t>
      </w:r>
      <w:r w:rsidRPr="00660827">
        <w:rPr>
          <w:sz w:val="20"/>
          <w:szCs w:val="20"/>
          <w:lang w:val="en-US"/>
        </w:rPr>
        <w:t>will be award</w:t>
      </w:r>
      <w:r w:rsidR="00655A91" w:rsidRPr="00660827">
        <w:rPr>
          <w:sz w:val="20"/>
          <w:szCs w:val="20"/>
          <w:lang w:val="en-US"/>
        </w:rPr>
        <w:t>ed</w:t>
      </w:r>
      <w:r w:rsidR="00CB2A45">
        <w:rPr>
          <w:sz w:val="20"/>
          <w:szCs w:val="20"/>
          <w:lang w:val="en-US"/>
        </w:rPr>
        <w:t xml:space="preserve"> and the winner(s) will be announced</w:t>
      </w:r>
      <w:r w:rsidR="00655A91" w:rsidRPr="00660827">
        <w:rPr>
          <w:sz w:val="20"/>
          <w:szCs w:val="20"/>
          <w:lang w:val="en-US"/>
        </w:rPr>
        <w:t xml:space="preserve"> </w:t>
      </w:r>
      <w:r w:rsidR="00B22EDF" w:rsidRPr="00660827">
        <w:rPr>
          <w:sz w:val="20"/>
          <w:szCs w:val="20"/>
          <w:lang w:val="en-US"/>
        </w:rPr>
        <w:t xml:space="preserve">in parallel with the presentation of the best practices report </w:t>
      </w:r>
      <w:r w:rsidR="006F0D0B" w:rsidRPr="00660827">
        <w:rPr>
          <w:sz w:val="20"/>
          <w:szCs w:val="20"/>
          <w:lang w:val="en-US"/>
        </w:rPr>
        <w:t>for the first cohort in 2023</w:t>
      </w:r>
      <w:r w:rsidR="00BA014C" w:rsidRPr="00660827">
        <w:rPr>
          <w:sz w:val="20"/>
          <w:szCs w:val="20"/>
          <w:lang w:val="en-US"/>
        </w:rPr>
        <w:t>.</w:t>
      </w:r>
    </w:p>
    <w:p w14:paraId="1CC681AD" w14:textId="745351B5" w:rsidR="004C27CE" w:rsidRPr="00660827" w:rsidRDefault="004C27CE" w:rsidP="00660827">
      <w:pPr>
        <w:ind w:left="-284" w:right="-472"/>
        <w:rPr>
          <w:rFonts w:ascii="Trebuchet MS" w:eastAsia="Times New Roman" w:hAnsi="Trebuchet MS"/>
          <w:sz w:val="20"/>
          <w:szCs w:val="20"/>
        </w:rPr>
      </w:pPr>
      <w:r w:rsidRPr="00CB2A45">
        <w:rPr>
          <w:rFonts w:cstheme="minorHAnsi"/>
          <w:sz w:val="20"/>
          <w:szCs w:val="20"/>
          <w:lang w:val="en-US"/>
        </w:rPr>
        <w:t xml:space="preserve">The award criteria have been reviewed by the independent panel of academic experts consisting </w:t>
      </w:r>
      <w:r w:rsidRPr="00CB2A45">
        <w:rPr>
          <w:rFonts w:cstheme="minorHAnsi"/>
          <w:color w:val="1D0D34"/>
          <w:sz w:val="20"/>
          <w:szCs w:val="20"/>
          <w:shd w:val="clear" w:color="auto" w:fill="FFFFFF"/>
          <w:lang w:val="en-US"/>
        </w:rPr>
        <w:t xml:space="preserve">of </w:t>
      </w:r>
      <w:r w:rsidRPr="00CB2A45">
        <w:rPr>
          <w:rStyle w:val="Strong"/>
          <w:rFonts w:cstheme="minorHAnsi"/>
          <w:sz w:val="20"/>
          <w:szCs w:val="20"/>
          <w:shd w:val="clear" w:color="auto" w:fill="FFFFFF"/>
          <w:lang w:val="en-US"/>
        </w:rPr>
        <w:t>Professor Roman Beck</w:t>
      </w:r>
      <w:r w:rsidRPr="00CB2A45">
        <w:rPr>
          <w:rFonts w:cstheme="minorHAnsi"/>
          <w:sz w:val="20"/>
          <w:szCs w:val="20"/>
          <w:shd w:val="clear" w:color="auto" w:fill="FFFFFF"/>
          <w:lang w:val="en-US"/>
        </w:rPr>
        <w:t> </w:t>
      </w:r>
      <w:r w:rsidRPr="00CB2A45">
        <w:rPr>
          <w:rFonts w:cstheme="minorHAnsi"/>
          <w:color w:val="1D0D34"/>
          <w:sz w:val="20"/>
          <w:szCs w:val="20"/>
          <w:shd w:val="clear" w:color="auto" w:fill="FFFFFF"/>
          <w:lang w:val="en-US"/>
        </w:rPr>
        <w:t>(IT-University, Copenhagen), </w:t>
      </w:r>
      <w:r w:rsidRPr="00CB2A45">
        <w:rPr>
          <w:rStyle w:val="Strong"/>
          <w:rFonts w:cstheme="minorHAnsi"/>
          <w:sz w:val="20"/>
          <w:szCs w:val="20"/>
          <w:shd w:val="clear" w:color="auto" w:fill="FFFFFF"/>
          <w:lang w:val="en-US"/>
        </w:rPr>
        <w:t>Professor Soulla Louca</w:t>
      </w:r>
      <w:r w:rsidRPr="00CB2A45">
        <w:rPr>
          <w:rFonts w:cstheme="minorHAnsi"/>
          <w:color w:val="4472C4"/>
          <w:sz w:val="20"/>
          <w:szCs w:val="20"/>
          <w:shd w:val="clear" w:color="auto" w:fill="FFFFFF"/>
          <w:lang w:val="en-US"/>
        </w:rPr>
        <w:t> </w:t>
      </w:r>
      <w:r w:rsidRPr="00CB2A45">
        <w:rPr>
          <w:rFonts w:cstheme="minorHAnsi"/>
          <w:color w:val="1D0D34"/>
          <w:sz w:val="20"/>
          <w:szCs w:val="20"/>
          <w:shd w:val="clear" w:color="auto" w:fill="FFFFFF"/>
          <w:lang w:val="en-US"/>
        </w:rPr>
        <w:t>(University of Nicosia, Cyprus) and </w:t>
      </w:r>
      <w:r w:rsidRPr="00CB2A45">
        <w:rPr>
          <w:rStyle w:val="Strong"/>
          <w:rFonts w:cstheme="minorHAnsi"/>
          <w:sz w:val="20"/>
          <w:szCs w:val="20"/>
          <w:shd w:val="clear" w:color="auto" w:fill="FFFFFF"/>
          <w:lang w:val="en-US"/>
        </w:rPr>
        <w:t>Professor Walter Blocher</w:t>
      </w:r>
      <w:r w:rsidRPr="00CB2A45">
        <w:rPr>
          <w:rFonts w:cstheme="minorHAnsi"/>
          <w:color w:val="1D0D34"/>
          <w:sz w:val="20"/>
          <w:szCs w:val="20"/>
          <w:shd w:val="clear" w:color="auto" w:fill="FFFFFF"/>
          <w:lang w:val="en-US"/>
        </w:rPr>
        <w:t> (</w:t>
      </w:r>
      <w:r w:rsidRPr="00CB2A45">
        <w:rPr>
          <w:rFonts w:cstheme="minorHAnsi"/>
          <w:sz w:val="20"/>
          <w:szCs w:val="20"/>
          <w:lang w:val="en-US"/>
        </w:rPr>
        <w:t>Universities</w:t>
      </w:r>
      <w:r w:rsidRPr="00CB2A45">
        <w:rPr>
          <w:rFonts w:cstheme="minorHAnsi"/>
          <w:color w:val="1D0D34"/>
          <w:sz w:val="20"/>
          <w:szCs w:val="20"/>
          <w:shd w:val="clear" w:color="auto" w:fill="FFFFFF"/>
          <w:lang w:val="en-US"/>
        </w:rPr>
        <w:t xml:space="preserve"> of Kassel). </w:t>
      </w:r>
      <w:r w:rsidRPr="00CB2A45">
        <w:rPr>
          <w:rFonts w:cstheme="minorHAnsi"/>
          <w:sz w:val="20"/>
          <w:szCs w:val="20"/>
        </w:rPr>
        <w:t xml:space="preserve">The annual award will be granted </w:t>
      </w:r>
      <w:r w:rsidR="008C466E" w:rsidRPr="00CB2A45">
        <w:rPr>
          <w:rFonts w:cstheme="minorHAnsi"/>
          <w:sz w:val="20"/>
          <w:szCs w:val="20"/>
        </w:rPr>
        <w:t>based on</w:t>
      </w:r>
      <w:r w:rsidRPr="00CB2A45">
        <w:rPr>
          <w:rFonts w:cstheme="minorHAnsi"/>
          <w:sz w:val="20"/>
          <w:szCs w:val="20"/>
        </w:rPr>
        <w:t xml:space="preserve"> these criteria by the independent panel of academic experts in consultation with the European Commission</w:t>
      </w:r>
      <w:r w:rsidRPr="00660827">
        <w:rPr>
          <w:sz w:val="20"/>
          <w:szCs w:val="20"/>
        </w:rPr>
        <w:t>.</w:t>
      </w:r>
    </w:p>
    <w:p w14:paraId="7BBB22D4" w14:textId="5C5086E5" w:rsidR="004C27CE" w:rsidRPr="006737C7" w:rsidRDefault="004C27CE" w:rsidP="00660827">
      <w:pPr>
        <w:spacing w:after="0" w:line="240" w:lineRule="auto"/>
        <w:ind w:left="-284" w:right="-472"/>
        <w:rPr>
          <w:rFonts w:ascii="Calibri" w:eastAsia="Calibri" w:hAnsi="Calibri" w:cs="Calibri"/>
          <w:b/>
          <w:bCs/>
          <w:sz w:val="20"/>
          <w:szCs w:val="20"/>
          <w:lang w:val="en-US" w:eastAsia="en-GB"/>
        </w:rPr>
      </w:pPr>
      <w:r w:rsidRPr="006737C7">
        <w:rPr>
          <w:rFonts w:ascii="Calibri" w:eastAsia="Calibri" w:hAnsi="Calibri" w:cs="Calibri"/>
          <w:b/>
          <w:bCs/>
          <w:sz w:val="20"/>
          <w:szCs w:val="20"/>
          <w:u w:val="single"/>
          <w:lang w:val="en-US" w:eastAsia="en-GB"/>
        </w:rPr>
        <w:t>Award criteria</w:t>
      </w:r>
      <w:r w:rsidRPr="006737C7">
        <w:rPr>
          <w:rFonts w:ascii="Calibri" w:eastAsia="Calibri" w:hAnsi="Calibri" w:cs="Calibri"/>
          <w:b/>
          <w:bCs/>
          <w:sz w:val="20"/>
          <w:szCs w:val="20"/>
          <w:lang w:val="en-US" w:eastAsia="en-GB"/>
        </w:rPr>
        <w:t xml:space="preserve">: </w:t>
      </w:r>
    </w:p>
    <w:p w14:paraId="55340D62" w14:textId="77777777" w:rsidR="004C27CE" w:rsidRPr="00660827" w:rsidRDefault="004C27CE" w:rsidP="00660827">
      <w:pPr>
        <w:spacing w:after="0" w:line="240" w:lineRule="auto"/>
        <w:ind w:left="-284" w:right="-472"/>
        <w:rPr>
          <w:rFonts w:ascii="Calibri" w:eastAsia="Calibri" w:hAnsi="Calibri" w:cs="Calibri"/>
          <w:sz w:val="20"/>
          <w:szCs w:val="20"/>
          <w:lang w:val="en-US" w:eastAsia="en-GB"/>
        </w:rPr>
      </w:pPr>
    </w:p>
    <w:p w14:paraId="2CDC7C1D" w14:textId="3CE450EC" w:rsidR="00540922" w:rsidRPr="00660827" w:rsidRDefault="005C7263" w:rsidP="00660827">
      <w:pPr>
        <w:pStyle w:val="ListParagraph"/>
        <w:numPr>
          <w:ilvl w:val="0"/>
          <w:numId w:val="2"/>
        </w:numPr>
        <w:ind w:left="-284" w:right="-472" w:firstLine="0"/>
        <w:rPr>
          <w:rFonts w:eastAsia="Calibri"/>
          <w:sz w:val="20"/>
          <w:szCs w:val="20"/>
          <w:lang w:val="en-US" w:eastAsia="en-GB"/>
        </w:rPr>
      </w:pPr>
      <w:r w:rsidRPr="00660827">
        <w:rPr>
          <w:rFonts w:eastAsia="Calibri"/>
          <w:sz w:val="20"/>
          <w:szCs w:val="20"/>
          <w:lang w:val="en-US" w:eastAsia="en-GB"/>
        </w:rPr>
        <w:t>Interest to e</w:t>
      </w:r>
      <w:r w:rsidR="004E7065" w:rsidRPr="00660827">
        <w:rPr>
          <w:rFonts w:eastAsia="Calibri"/>
          <w:sz w:val="20"/>
          <w:szCs w:val="20"/>
          <w:lang w:val="en-US" w:eastAsia="en-GB"/>
        </w:rPr>
        <w:t>ngage</w:t>
      </w:r>
      <w:r w:rsidRPr="00660827">
        <w:rPr>
          <w:rFonts w:eastAsia="Calibri"/>
          <w:sz w:val="20"/>
          <w:szCs w:val="20"/>
          <w:lang w:val="en-US" w:eastAsia="en-GB"/>
        </w:rPr>
        <w:t xml:space="preserve"> </w:t>
      </w:r>
      <w:r w:rsidR="00783259" w:rsidRPr="00660827">
        <w:rPr>
          <w:rFonts w:eastAsia="Calibri"/>
          <w:sz w:val="20"/>
          <w:szCs w:val="20"/>
          <w:lang w:val="en-US" w:eastAsia="en-GB"/>
        </w:rPr>
        <w:t xml:space="preserve">in dialogues </w:t>
      </w:r>
      <w:r w:rsidR="00381A16" w:rsidRPr="00660827">
        <w:rPr>
          <w:rFonts w:eastAsia="Calibri"/>
          <w:sz w:val="20"/>
          <w:szCs w:val="20"/>
          <w:lang w:val="en-US" w:eastAsia="en-GB"/>
        </w:rPr>
        <w:t>with</w:t>
      </w:r>
      <w:r w:rsidR="007A6346" w:rsidRPr="00660827">
        <w:rPr>
          <w:rFonts w:eastAsia="Calibri"/>
          <w:sz w:val="20"/>
          <w:szCs w:val="20"/>
          <w:lang w:val="en-US" w:eastAsia="en-GB"/>
        </w:rPr>
        <w:t xml:space="preserve"> innovative blockchain / DLT </w:t>
      </w:r>
      <w:r w:rsidR="001D32DC" w:rsidRPr="00660827">
        <w:rPr>
          <w:rFonts w:eastAsia="Calibri"/>
          <w:sz w:val="20"/>
          <w:szCs w:val="20"/>
          <w:lang w:val="en-US" w:eastAsia="en-GB"/>
        </w:rPr>
        <w:t>projects</w:t>
      </w:r>
    </w:p>
    <w:p w14:paraId="6D8A080C" w14:textId="2D9F9B8A" w:rsidR="00126290" w:rsidRPr="00660827" w:rsidRDefault="00DD553A" w:rsidP="00660827">
      <w:pPr>
        <w:pStyle w:val="ListParagraph"/>
        <w:numPr>
          <w:ilvl w:val="0"/>
          <w:numId w:val="2"/>
        </w:numPr>
        <w:ind w:left="-284" w:right="-472" w:firstLine="0"/>
        <w:rPr>
          <w:rFonts w:eastAsia="Calibri"/>
          <w:sz w:val="20"/>
          <w:szCs w:val="20"/>
          <w:lang w:val="en-US" w:eastAsia="en-GB"/>
        </w:rPr>
      </w:pPr>
      <w:r w:rsidRPr="00660827">
        <w:rPr>
          <w:rFonts w:eastAsia="Calibri"/>
          <w:sz w:val="20"/>
          <w:szCs w:val="20"/>
          <w:lang w:val="en-US" w:eastAsia="en-GB"/>
        </w:rPr>
        <w:t>Level of engagement and c</w:t>
      </w:r>
      <w:r w:rsidR="00304DE9" w:rsidRPr="00660827">
        <w:rPr>
          <w:rFonts w:eastAsia="Calibri"/>
          <w:sz w:val="20"/>
          <w:szCs w:val="20"/>
          <w:lang w:val="en-US" w:eastAsia="en-GB"/>
        </w:rPr>
        <w:t xml:space="preserve">ontribution of </w:t>
      </w:r>
      <w:r w:rsidR="00126290" w:rsidRPr="00660827">
        <w:rPr>
          <w:rFonts w:eastAsia="Calibri"/>
          <w:sz w:val="20"/>
          <w:szCs w:val="20"/>
          <w:lang w:val="en-US" w:eastAsia="en-GB"/>
        </w:rPr>
        <w:t>information</w:t>
      </w:r>
      <w:r w:rsidR="00304DE9" w:rsidRPr="00660827">
        <w:rPr>
          <w:rFonts w:eastAsia="Calibri"/>
          <w:sz w:val="20"/>
          <w:szCs w:val="20"/>
          <w:lang w:val="en-US" w:eastAsia="en-GB"/>
        </w:rPr>
        <w:t xml:space="preserve"> and insights </w:t>
      </w:r>
      <w:r w:rsidRPr="00660827">
        <w:rPr>
          <w:rFonts w:eastAsia="Calibri"/>
          <w:sz w:val="20"/>
          <w:szCs w:val="20"/>
          <w:lang w:val="en-US" w:eastAsia="en-GB"/>
        </w:rPr>
        <w:t xml:space="preserve">during </w:t>
      </w:r>
      <w:r w:rsidR="00304DE9" w:rsidRPr="00660827">
        <w:rPr>
          <w:rFonts w:eastAsia="Calibri"/>
          <w:sz w:val="20"/>
          <w:szCs w:val="20"/>
          <w:lang w:val="en-US" w:eastAsia="en-GB"/>
        </w:rPr>
        <w:t xml:space="preserve">the dialogues </w:t>
      </w:r>
    </w:p>
    <w:p w14:paraId="4DC058E2" w14:textId="31CC95FD" w:rsidR="00126290" w:rsidRPr="00660827" w:rsidRDefault="00304DE9" w:rsidP="00660827">
      <w:pPr>
        <w:pStyle w:val="ListParagraph"/>
        <w:numPr>
          <w:ilvl w:val="0"/>
          <w:numId w:val="2"/>
        </w:numPr>
        <w:ind w:left="-284" w:right="-472" w:firstLine="0"/>
        <w:rPr>
          <w:rFonts w:eastAsia="Calibri"/>
          <w:sz w:val="20"/>
          <w:szCs w:val="20"/>
          <w:lang w:val="en-US" w:eastAsia="en-GB"/>
        </w:rPr>
      </w:pPr>
      <w:r w:rsidRPr="00660827">
        <w:rPr>
          <w:rFonts w:eastAsia="Calibri"/>
          <w:sz w:val="20"/>
          <w:szCs w:val="20"/>
          <w:lang w:val="en-US" w:eastAsia="en-GB"/>
        </w:rPr>
        <w:t>Providing i</w:t>
      </w:r>
      <w:r w:rsidR="00126290" w:rsidRPr="00660827">
        <w:rPr>
          <w:rFonts w:eastAsia="Calibri"/>
          <w:sz w:val="20"/>
          <w:szCs w:val="20"/>
          <w:lang w:val="en-US" w:eastAsia="en-GB"/>
        </w:rPr>
        <w:t>nput for the best practices report</w:t>
      </w:r>
    </w:p>
    <w:p w14:paraId="5EF39301" w14:textId="5001A41C" w:rsidR="00A948F7" w:rsidRPr="00660827" w:rsidRDefault="00A948F7" w:rsidP="00660827">
      <w:pPr>
        <w:pStyle w:val="Bullet1"/>
        <w:numPr>
          <w:ilvl w:val="0"/>
          <w:numId w:val="0"/>
        </w:numPr>
        <w:spacing w:after="0"/>
        <w:ind w:left="-284" w:right="-472"/>
        <w:jc w:val="both"/>
        <w:rPr>
          <w:szCs w:val="20"/>
          <w:lang w:val="en-US"/>
        </w:rPr>
      </w:pPr>
    </w:p>
    <w:p w14:paraId="382EA834" w14:textId="30DF5C42" w:rsidR="00E3769B" w:rsidRPr="00660827" w:rsidRDefault="00E3769B" w:rsidP="00660827">
      <w:pPr>
        <w:ind w:left="-284" w:right="-472"/>
        <w:rPr>
          <w:sz w:val="20"/>
          <w:szCs w:val="20"/>
          <w:lang w:val="en-US"/>
        </w:rPr>
      </w:pPr>
      <w:r w:rsidRPr="00660827">
        <w:rPr>
          <w:sz w:val="20"/>
          <w:szCs w:val="20"/>
          <w:lang w:val="en-US"/>
        </w:rPr>
        <w:t>The award criteria are specified in the table below. As the sandbox dialogues are confidential, the scoring against these criteria will be based on objective facts that can be assessed without having to disclose any confidential information.</w:t>
      </w:r>
    </w:p>
    <w:tbl>
      <w:tblPr>
        <w:tblW w:w="9498" w:type="dxa"/>
        <w:tblInd w:w="-289"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A0" w:firstRow="1" w:lastRow="0" w:firstColumn="1" w:lastColumn="0" w:noHBand="0" w:noVBand="1"/>
      </w:tblPr>
      <w:tblGrid>
        <w:gridCol w:w="2336"/>
        <w:gridCol w:w="2337"/>
        <w:gridCol w:w="4825"/>
      </w:tblGrid>
      <w:tr w:rsidR="00660827" w:rsidRPr="006737C7" w14:paraId="4AC098D1" w14:textId="77777777" w:rsidTr="00206FB3">
        <w:trPr>
          <w:tblHeader/>
        </w:trPr>
        <w:tc>
          <w:tcPr>
            <w:tcW w:w="2336" w:type="dxa"/>
            <w:tcBorders>
              <w:top w:val="single" w:sz="4" w:space="0" w:color="4472C4"/>
              <w:left w:val="single" w:sz="4" w:space="0" w:color="4472C4"/>
              <w:bottom w:val="single" w:sz="4" w:space="0" w:color="4472C4"/>
              <w:right w:val="nil"/>
            </w:tcBorders>
            <w:shd w:val="clear" w:color="auto" w:fill="8496B0"/>
          </w:tcPr>
          <w:p w14:paraId="6897F726" w14:textId="77777777" w:rsidR="00660827" w:rsidRPr="006737C7" w:rsidRDefault="00660827" w:rsidP="00206FB3">
            <w:pPr>
              <w:spacing w:after="0" w:line="240" w:lineRule="auto"/>
              <w:jc w:val="both"/>
              <w:rPr>
                <w:rFonts w:ascii="Calibri" w:eastAsia="Calibri" w:hAnsi="Calibri" w:cs="Calibri"/>
                <w:b/>
                <w:color w:val="44546A"/>
                <w:lang w:eastAsia="en-GB"/>
              </w:rPr>
            </w:pPr>
            <w:r w:rsidRPr="006737C7">
              <w:rPr>
                <w:rFonts w:ascii="Calibri" w:eastAsia="Calibri" w:hAnsi="Calibri" w:cs="Calibri"/>
                <w:b/>
                <w:color w:val="44546A"/>
                <w:lang w:eastAsia="en-GB"/>
              </w:rPr>
              <w:t>Criterium</w:t>
            </w:r>
          </w:p>
        </w:tc>
        <w:tc>
          <w:tcPr>
            <w:tcW w:w="2337" w:type="dxa"/>
            <w:tcBorders>
              <w:top w:val="single" w:sz="4" w:space="0" w:color="4472C4"/>
              <w:left w:val="nil"/>
              <w:bottom w:val="single" w:sz="4" w:space="0" w:color="4472C4"/>
              <w:right w:val="nil"/>
            </w:tcBorders>
            <w:shd w:val="clear" w:color="auto" w:fill="8496B0"/>
          </w:tcPr>
          <w:p w14:paraId="28F16537" w14:textId="77777777" w:rsidR="00660827" w:rsidRPr="006737C7" w:rsidRDefault="00660827" w:rsidP="00206FB3">
            <w:pPr>
              <w:spacing w:after="0" w:line="240" w:lineRule="auto"/>
              <w:jc w:val="both"/>
              <w:rPr>
                <w:rFonts w:ascii="Calibri" w:eastAsia="Calibri" w:hAnsi="Calibri" w:cs="Calibri"/>
                <w:b/>
                <w:color w:val="44546A"/>
                <w:lang w:eastAsia="en-GB"/>
              </w:rPr>
            </w:pPr>
            <w:r w:rsidRPr="006737C7">
              <w:rPr>
                <w:rFonts w:ascii="Calibri" w:eastAsia="Calibri" w:hAnsi="Calibri" w:cs="Calibri"/>
                <w:b/>
                <w:color w:val="44546A"/>
                <w:lang w:eastAsia="en-GB"/>
              </w:rPr>
              <w:t>Metric/Evidence</w:t>
            </w:r>
          </w:p>
        </w:tc>
        <w:tc>
          <w:tcPr>
            <w:tcW w:w="4825" w:type="dxa"/>
            <w:tcBorders>
              <w:top w:val="single" w:sz="4" w:space="0" w:color="4472C4"/>
              <w:left w:val="nil"/>
              <w:bottom w:val="single" w:sz="4" w:space="0" w:color="4472C4"/>
              <w:right w:val="nil"/>
            </w:tcBorders>
            <w:shd w:val="clear" w:color="auto" w:fill="8496B0"/>
          </w:tcPr>
          <w:p w14:paraId="4FC4C4D9" w14:textId="77777777" w:rsidR="00660827" w:rsidRPr="006737C7" w:rsidRDefault="00660827" w:rsidP="00206FB3">
            <w:pPr>
              <w:spacing w:after="0" w:line="240" w:lineRule="auto"/>
              <w:jc w:val="both"/>
              <w:rPr>
                <w:rFonts w:ascii="Calibri" w:eastAsia="Calibri" w:hAnsi="Calibri" w:cs="Calibri"/>
                <w:b/>
                <w:color w:val="44546A"/>
                <w:lang w:eastAsia="en-GB"/>
              </w:rPr>
            </w:pPr>
            <w:r w:rsidRPr="006737C7">
              <w:rPr>
                <w:rFonts w:ascii="Calibri" w:eastAsia="Calibri" w:hAnsi="Calibri" w:cs="Calibri"/>
                <w:b/>
                <w:color w:val="44546A"/>
                <w:lang w:eastAsia="en-GB"/>
              </w:rPr>
              <w:t>Weights</w:t>
            </w:r>
          </w:p>
        </w:tc>
      </w:tr>
      <w:tr w:rsidR="00660827" w:rsidRPr="00CB2A45" w14:paraId="0B037C92" w14:textId="77777777" w:rsidTr="00206FB3">
        <w:tc>
          <w:tcPr>
            <w:tcW w:w="2336" w:type="dxa"/>
            <w:shd w:val="clear" w:color="auto" w:fill="D9E2F3"/>
          </w:tcPr>
          <w:p w14:paraId="59B3578D" w14:textId="210A6F4C" w:rsidR="00660827" w:rsidRDefault="00660827" w:rsidP="00206FB3">
            <w:pPr>
              <w:spacing w:after="0" w:line="240" w:lineRule="auto"/>
              <w:rPr>
                <w:rFonts w:ascii="Calibri" w:eastAsia="Calibri" w:hAnsi="Calibri" w:cs="Calibri"/>
                <w:b/>
                <w:sz w:val="18"/>
                <w:szCs w:val="18"/>
                <w:lang w:val="en-US" w:eastAsia="en-GB"/>
              </w:rPr>
            </w:pPr>
            <w:r>
              <w:rPr>
                <w:rFonts w:ascii="Calibri" w:eastAsia="Calibri" w:hAnsi="Calibri" w:cs="Calibri"/>
                <w:b/>
                <w:sz w:val="18"/>
                <w:szCs w:val="18"/>
                <w:lang w:val="en-US" w:eastAsia="en-GB"/>
              </w:rPr>
              <w:t>Interest to engage with</w:t>
            </w:r>
            <w:r w:rsidRPr="001D32DC">
              <w:rPr>
                <w:rFonts w:ascii="Calibri" w:eastAsia="Calibri" w:hAnsi="Calibri" w:cs="Calibri"/>
                <w:b/>
                <w:sz w:val="18"/>
                <w:szCs w:val="18"/>
                <w:lang w:val="en-US" w:eastAsia="en-GB"/>
              </w:rPr>
              <w:t xml:space="preserve"> innovative blockchain/DLT projects</w:t>
            </w:r>
            <w:r>
              <w:rPr>
                <w:rFonts w:ascii="Calibri" w:eastAsia="Calibri" w:hAnsi="Calibri" w:cs="Calibri"/>
                <w:b/>
                <w:sz w:val="18"/>
                <w:szCs w:val="18"/>
                <w:lang w:val="en-US" w:eastAsia="en-GB"/>
              </w:rPr>
              <w:t xml:space="preserve"> (</w:t>
            </w:r>
            <w:r w:rsidR="00381D07">
              <w:rPr>
                <w:rFonts w:ascii="Calibri" w:eastAsia="Calibri" w:hAnsi="Calibri" w:cs="Calibri"/>
                <w:b/>
                <w:sz w:val="18"/>
                <w:szCs w:val="18"/>
                <w:lang w:val="en-US" w:eastAsia="en-GB"/>
              </w:rPr>
              <w:t>3</w:t>
            </w:r>
            <w:r>
              <w:rPr>
                <w:rFonts w:ascii="Calibri" w:eastAsia="Calibri" w:hAnsi="Calibri" w:cs="Calibri"/>
                <w:b/>
                <w:sz w:val="18"/>
                <w:szCs w:val="18"/>
                <w:lang w:val="en-US" w:eastAsia="en-GB"/>
              </w:rPr>
              <w:t>0% of the total)</w:t>
            </w:r>
          </w:p>
          <w:p w14:paraId="50329CF4" w14:textId="77777777" w:rsidR="00660827" w:rsidRPr="006737C7" w:rsidRDefault="00660827" w:rsidP="00206FB3">
            <w:pPr>
              <w:spacing w:after="0" w:line="240" w:lineRule="auto"/>
              <w:rPr>
                <w:rFonts w:ascii="Calibri" w:eastAsia="Calibri" w:hAnsi="Calibri" w:cs="Calibri"/>
                <w:b/>
                <w:sz w:val="18"/>
                <w:szCs w:val="18"/>
                <w:lang w:val="en-US" w:eastAsia="en-GB"/>
              </w:rPr>
            </w:pPr>
          </w:p>
        </w:tc>
        <w:tc>
          <w:tcPr>
            <w:tcW w:w="2337" w:type="dxa"/>
            <w:shd w:val="clear" w:color="auto" w:fill="D9E2F3"/>
          </w:tcPr>
          <w:p w14:paraId="40BC2996" w14:textId="1153B08E" w:rsidR="00660827" w:rsidRPr="006737C7" w:rsidRDefault="00660827" w:rsidP="00206FB3">
            <w:pPr>
              <w:spacing w:after="0" w:line="240" w:lineRule="auto"/>
              <w:rPr>
                <w:rFonts w:ascii="Calibri" w:eastAsia="Calibri" w:hAnsi="Calibri" w:cs="Calibri"/>
                <w:color w:val="44546A"/>
                <w:sz w:val="18"/>
                <w:szCs w:val="18"/>
                <w:lang w:val="en-US" w:eastAsia="en-GB"/>
              </w:rPr>
            </w:pPr>
            <w:bookmarkStart w:id="0" w:name="_Hlk119070386"/>
            <w:r>
              <w:rPr>
                <w:rFonts w:ascii="Calibri" w:eastAsia="Calibri" w:hAnsi="Calibri" w:cs="Calibri"/>
                <w:color w:val="44546A"/>
                <w:sz w:val="18"/>
                <w:szCs w:val="18"/>
                <w:lang w:val="en-US" w:eastAsia="en-GB"/>
              </w:rPr>
              <w:t>Number of use cases for which the regulator/authority joins the dialogue meetings</w:t>
            </w:r>
            <w:bookmarkEnd w:id="0"/>
          </w:p>
        </w:tc>
        <w:tc>
          <w:tcPr>
            <w:tcW w:w="4825" w:type="dxa"/>
            <w:shd w:val="clear" w:color="auto" w:fill="D9E2F3"/>
          </w:tcPr>
          <w:p w14:paraId="0D943D61" w14:textId="77777777" w:rsidR="00660827" w:rsidRPr="006737C7" w:rsidRDefault="00660827" w:rsidP="00206FB3">
            <w:pPr>
              <w:spacing w:after="0" w:line="240" w:lineRule="auto"/>
              <w:rPr>
                <w:rFonts w:ascii="Georgia" w:eastAsia="Georgia" w:hAnsi="Georgia" w:cs="Times New Roman"/>
                <w:lang w:val="en-US" w:eastAsia="en-GB"/>
              </w:rPr>
            </w:pPr>
            <w:r>
              <w:rPr>
                <w:rFonts w:ascii="Calibri" w:eastAsia="Calibri" w:hAnsi="Calibri" w:cs="Calibri"/>
                <w:color w:val="44546A"/>
                <w:sz w:val="18"/>
                <w:szCs w:val="18"/>
                <w:lang w:val="en-US" w:eastAsia="en-GB"/>
              </w:rPr>
              <w:t>1 point per use case for which the dialogue meetings are joined with a maximum of 2 points</w:t>
            </w:r>
          </w:p>
        </w:tc>
      </w:tr>
      <w:tr w:rsidR="00660827" w:rsidRPr="00CB2A45" w14:paraId="5198963A" w14:textId="77777777" w:rsidTr="00206FB3">
        <w:tc>
          <w:tcPr>
            <w:tcW w:w="2336" w:type="dxa"/>
            <w:shd w:val="clear" w:color="auto" w:fill="auto"/>
          </w:tcPr>
          <w:p w14:paraId="1FCEA7B6" w14:textId="285C75B3" w:rsidR="00660827" w:rsidRPr="006737C7" w:rsidRDefault="00660827" w:rsidP="00206FB3">
            <w:pPr>
              <w:spacing w:after="0" w:line="240" w:lineRule="auto"/>
              <w:rPr>
                <w:rFonts w:ascii="Calibri" w:eastAsia="Calibri" w:hAnsi="Calibri" w:cs="Calibri"/>
                <w:b/>
                <w:sz w:val="18"/>
                <w:szCs w:val="18"/>
                <w:lang w:val="en-US" w:eastAsia="en-GB"/>
              </w:rPr>
            </w:pPr>
            <w:r>
              <w:rPr>
                <w:rFonts w:ascii="Calibri" w:eastAsia="Calibri" w:hAnsi="Calibri" w:cs="Calibri"/>
                <w:b/>
                <w:sz w:val="18"/>
                <w:szCs w:val="18"/>
                <w:lang w:val="en-US" w:eastAsia="en-GB"/>
              </w:rPr>
              <w:t>Level of engagement and c</w:t>
            </w:r>
            <w:r w:rsidRPr="001D32DC">
              <w:rPr>
                <w:rFonts w:ascii="Calibri" w:eastAsia="Calibri" w:hAnsi="Calibri" w:cs="Calibri"/>
                <w:b/>
                <w:sz w:val="18"/>
                <w:szCs w:val="18"/>
                <w:lang w:val="en-US" w:eastAsia="en-GB"/>
              </w:rPr>
              <w:t xml:space="preserve">ontribution of information and insights </w:t>
            </w:r>
            <w:r>
              <w:rPr>
                <w:rFonts w:ascii="Calibri" w:eastAsia="Calibri" w:hAnsi="Calibri" w:cs="Calibri"/>
                <w:b/>
                <w:sz w:val="18"/>
                <w:szCs w:val="18"/>
                <w:lang w:val="en-US" w:eastAsia="en-GB"/>
              </w:rPr>
              <w:t xml:space="preserve">during </w:t>
            </w:r>
            <w:r w:rsidRPr="001D32DC">
              <w:rPr>
                <w:rFonts w:ascii="Calibri" w:eastAsia="Calibri" w:hAnsi="Calibri" w:cs="Calibri"/>
                <w:b/>
                <w:sz w:val="18"/>
                <w:szCs w:val="18"/>
                <w:lang w:val="en-US" w:eastAsia="en-GB"/>
              </w:rPr>
              <w:t>the dialogues</w:t>
            </w:r>
            <w:r>
              <w:rPr>
                <w:rFonts w:ascii="Calibri" w:eastAsia="Calibri" w:hAnsi="Calibri" w:cs="Calibri"/>
                <w:b/>
                <w:sz w:val="18"/>
                <w:szCs w:val="18"/>
                <w:lang w:val="en-US" w:eastAsia="en-GB"/>
              </w:rPr>
              <w:t xml:space="preserve"> (</w:t>
            </w:r>
            <w:r w:rsidR="00381D07">
              <w:rPr>
                <w:rFonts w:ascii="Calibri" w:eastAsia="Calibri" w:hAnsi="Calibri" w:cs="Calibri"/>
                <w:b/>
                <w:sz w:val="18"/>
                <w:szCs w:val="18"/>
                <w:lang w:val="en-US" w:eastAsia="en-GB"/>
              </w:rPr>
              <w:t>4</w:t>
            </w:r>
            <w:r>
              <w:rPr>
                <w:rFonts w:ascii="Calibri" w:eastAsia="Calibri" w:hAnsi="Calibri" w:cs="Calibri"/>
                <w:b/>
                <w:sz w:val="18"/>
                <w:szCs w:val="18"/>
                <w:lang w:val="en-US" w:eastAsia="en-GB"/>
              </w:rPr>
              <w:t>0% of the total)</w:t>
            </w:r>
          </w:p>
        </w:tc>
        <w:tc>
          <w:tcPr>
            <w:tcW w:w="2337" w:type="dxa"/>
            <w:shd w:val="clear" w:color="auto" w:fill="auto"/>
          </w:tcPr>
          <w:p w14:paraId="5604AD35" w14:textId="77777777" w:rsidR="00660827" w:rsidRPr="006737C7" w:rsidRDefault="00660827" w:rsidP="00206FB3">
            <w:pPr>
              <w:spacing w:after="0" w:line="240" w:lineRule="auto"/>
              <w:rPr>
                <w:rFonts w:ascii="Calibri" w:eastAsia="Calibri" w:hAnsi="Calibri" w:cs="Calibri"/>
                <w:color w:val="44546A"/>
                <w:sz w:val="18"/>
                <w:szCs w:val="18"/>
                <w:lang w:val="en-US" w:eastAsia="en-GB"/>
              </w:rPr>
            </w:pPr>
            <w:r>
              <w:rPr>
                <w:rFonts w:ascii="Calibri" w:eastAsia="Calibri" w:hAnsi="Calibri" w:cs="Calibri"/>
                <w:color w:val="44546A"/>
                <w:sz w:val="18"/>
                <w:szCs w:val="18"/>
                <w:lang w:val="en-US" w:eastAsia="en-GB"/>
              </w:rPr>
              <w:t>Uploading information in preparation of the dialogue meetings for discussion with the other participants</w:t>
            </w:r>
          </w:p>
          <w:p w14:paraId="0C75BE06" w14:textId="77777777" w:rsidR="00660827" w:rsidRPr="006737C7" w:rsidRDefault="00660827" w:rsidP="00206FB3">
            <w:pPr>
              <w:spacing w:after="0" w:line="240" w:lineRule="auto"/>
              <w:rPr>
                <w:rFonts w:ascii="Calibri" w:eastAsia="Calibri" w:hAnsi="Calibri" w:cs="Calibri"/>
                <w:color w:val="44546A"/>
                <w:sz w:val="18"/>
                <w:szCs w:val="18"/>
                <w:lang w:val="en-US" w:eastAsia="en-GB"/>
              </w:rPr>
            </w:pPr>
          </w:p>
          <w:p w14:paraId="1C0791A5" w14:textId="77777777" w:rsidR="00660827" w:rsidRPr="006737C7" w:rsidRDefault="00660827" w:rsidP="00206FB3">
            <w:pPr>
              <w:spacing w:after="0" w:line="240" w:lineRule="auto"/>
              <w:rPr>
                <w:rFonts w:ascii="Calibri" w:eastAsia="Calibri" w:hAnsi="Calibri" w:cs="Calibri"/>
                <w:color w:val="44546A"/>
                <w:sz w:val="18"/>
                <w:szCs w:val="18"/>
                <w:lang w:val="en-US" w:eastAsia="en-GB"/>
              </w:rPr>
            </w:pPr>
          </w:p>
        </w:tc>
        <w:tc>
          <w:tcPr>
            <w:tcW w:w="4825" w:type="dxa"/>
            <w:shd w:val="clear" w:color="auto" w:fill="auto"/>
          </w:tcPr>
          <w:p w14:paraId="5554FBA2" w14:textId="77777777" w:rsidR="00131B7F" w:rsidRDefault="00660827" w:rsidP="00206FB3">
            <w:pPr>
              <w:spacing w:after="0" w:line="240" w:lineRule="auto"/>
              <w:rPr>
                <w:rFonts w:ascii="Calibri" w:eastAsia="Calibri" w:hAnsi="Calibri" w:cs="Calibri"/>
                <w:color w:val="44546A"/>
                <w:sz w:val="18"/>
                <w:szCs w:val="18"/>
                <w:lang w:val="en-US" w:eastAsia="en-GB"/>
              </w:rPr>
            </w:pPr>
            <w:r>
              <w:rPr>
                <w:rFonts w:ascii="Calibri" w:eastAsia="Calibri" w:hAnsi="Calibri" w:cs="Calibri"/>
                <w:color w:val="44546A"/>
                <w:sz w:val="18"/>
                <w:szCs w:val="18"/>
                <w:lang w:val="en-US" w:eastAsia="en-GB"/>
              </w:rPr>
              <w:t>1 point per dialogue meeting for which information is uploaded</w:t>
            </w:r>
            <w:r w:rsidR="00131B7F">
              <w:rPr>
                <w:rFonts w:ascii="Calibri" w:eastAsia="Calibri" w:hAnsi="Calibri" w:cs="Calibri"/>
                <w:color w:val="44546A"/>
                <w:sz w:val="18"/>
                <w:szCs w:val="18"/>
                <w:lang w:val="en-US" w:eastAsia="en-GB"/>
              </w:rPr>
              <w:t xml:space="preserve"> with a maximum of 2 points.</w:t>
            </w:r>
          </w:p>
          <w:p w14:paraId="39051387" w14:textId="77777777" w:rsidR="00131B7F" w:rsidRDefault="00131B7F" w:rsidP="00206FB3">
            <w:pPr>
              <w:spacing w:after="0" w:line="240" w:lineRule="auto"/>
              <w:rPr>
                <w:rFonts w:ascii="Calibri" w:eastAsia="Calibri" w:hAnsi="Calibri" w:cs="Calibri"/>
                <w:color w:val="44546A"/>
                <w:sz w:val="18"/>
                <w:szCs w:val="18"/>
                <w:lang w:val="en-US" w:eastAsia="en-GB"/>
              </w:rPr>
            </w:pPr>
          </w:p>
          <w:p w14:paraId="696B39E3" w14:textId="4A330D75" w:rsidR="00660827" w:rsidRPr="006737C7" w:rsidRDefault="00131B7F" w:rsidP="00206FB3">
            <w:pPr>
              <w:spacing w:after="0" w:line="240" w:lineRule="auto"/>
              <w:rPr>
                <w:rFonts w:ascii="Calibri" w:eastAsia="Calibri" w:hAnsi="Calibri" w:cs="Calibri"/>
                <w:color w:val="44546A"/>
                <w:sz w:val="18"/>
                <w:szCs w:val="18"/>
                <w:lang w:val="en-US" w:eastAsia="en-GB"/>
              </w:rPr>
            </w:pPr>
            <w:r>
              <w:rPr>
                <w:rFonts w:ascii="Calibri" w:eastAsia="Calibri" w:hAnsi="Calibri" w:cs="Calibri"/>
                <w:color w:val="44546A"/>
                <w:sz w:val="18"/>
                <w:szCs w:val="18"/>
                <w:lang w:val="en-US" w:eastAsia="en-GB"/>
              </w:rPr>
              <w:t>I</w:t>
            </w:r>
            <w:r w:rsidR="00660827">
              <w:rPr>
                <w:rFonts w:ascii="Calibri" w:eastAsia="Calibri" w:hAnsi="Calibri" w:cs="Calibri"/>
                <w:color w:val="44546A"/>
                <w:sz w:val="18"/>
                <w:szCs w:val="18"/>
                <w:lang w:val="en-US" w:eastAsia="en-GB"/>
              </w:rPr>
              <w:t xml:space="preserve">f the same information is uploaded more than once by the regulator / authority this will only be </w:t>
            </w:r>
            <w:proofErr w:type="gramStart"/>
            <w:r w:rsidR="00660827">
              <w:rPr>
                <w:rFonts w:ascii="Calibri" w:eastAsia="Calibri" w:hAnsi="Calibri" w:cs="Calibri"/>
                <w:color w:val="44546A"/>
                <w:sz w:val="18"/>
                <w:szCs w:val="18"/>
                <w:lang w:val="en-US" w:eastAsia="en-GB"/>
              </w:rPr>
              <w:t>taken into account</w:t>
            </w:r>
            <w:proofErr w:type="gramEnd"/>
            <w:r w:rsidR="00660827">
              <w:rPr>
                <w:rFonts w:ascii="Calibri" w:eastAsia="Calibri" w:hAnsi="Calibri" w:cs="Calibri"/>
                <w:color w:val="44546A"/>
                <w:sz w:val="18"/>
                <w:szCs w:val="18"/>
                <w:lang w:val="en-US" w:eastAsia="en-GB"/>
              </w:rPr>
              <w:t xml:space="preserve"> once</w:t>
            </w:r>
            <w:r>
              <w:rPr>
                <w:rFonts w:ascii="Calibri" w:eastAsia="Calibri" w:hAnsi="Calibri" w:cs="Calibri"/>
                <w:color w:val="44546A"/>
                <w:sz w:val="18"/>
                <w:szCs w:val="18"/>
                <w:lang w:val="en-US" w:eastAsia="en-GB"/>
              </w:rPr>
              <w:t>.</w:t>
            </w:r>
            <w:r w:rsidR="00660827">
              <w:rPr>
                <w:rFonts w:ascii="Calibri" w:eastAsia="Calibri" w:hAnsi="Calibri" w:cs="Calibri"/>
                <w:color w:val="44546A"/>
                <w:sz w:val="18"/>
                <w:szCs w:val="18"/>
                <w:lang w:val="en-US" w:eastAsia="en-GB"/>
              </w:rPr>
              <w:t xml:space="preserve"> </w:t>
            </w:r>
          </w:p>
        </w:tc>
      </w:tr>
      <w:tr w:rsidR="00660827" w:rsidRPr="006737C7" w14:paraId="598E3A98" w14:textId="77777777" w:rsidTr="00206FB3">
        <w:tc>
          <w:tcPr>
            <w:tcW w:w="2336" w:type="dxa"/>
            <w:shd w:val="clear" w:color="auto" w:fill="D9E2F3" w:themeFill="accent1" w:themeFillTint="33"/>
          </w:tcPr>
          <w:p w14:paraId="65C803F6" w14:textId="23982ADB" w:rsidR="00660827" w:rsidRPr="006737C7" w:rsidRDefault="00660827" w:rsidP="00206FB3">
            <w:pPr>
              <w:spacing w:after="0" w:line="240" w:lineRule="auto"/>
              <w:rPr>
                <w:rFonts w:ascii="Calibri" w:eastAsia="Calibri" w:hAnsi="Calibri" w:cs="Calibri"/>
                <w:b/>
                <w:sz w:val="18"/>
                <w:szCs w:val="18"/>
                <w:lang w:val="en-US" w:eastAsia="en-GB"/>
              </w:rPr>
            </w:pPr>
            <w:r>
              <w:rPr>
                <w:rFonts w:ascii="Calibri" w:eastAsia="Calibri" w:hAnsi="Calibri" w:cs="Calibri"/>
                <w:b/>
                <w:sz w:val="18"/>
                <w:szCs w:val="18"/>
                <w:lang w:val="en-US" w:eastAsia="en-GB"/>
              </w:rPr>
              <w:t>Contribution to the best practices report (</w:t>
            </w:r>
            <w:r w:rsidR="00381D07">
              <w:rPr>
                <w:rFonts w:ascii="Calibri" w:eastAsia="Calibri" w:hAnsi="Calibri" w:cs="Calibri"/>
                <w:b/>
                <w:sz w:val="18"/>
                <w:szCs w:val="18"/>
                <w:lang w:val="en-US" w:eastAsia="en-GB"/>
              </w:rPr>
              <w:t>3</w:t>
            </w:r>
            <w:r>
              <w:rPr>
                <w:rFonts w:ascii="Calibri" w:eastAsia="Calibri" w:hAnsi="Calibri" w:cs="Calibri"/>
                <w:b/>
                <w:sz w:val="18"/>
                <w:szCs w:val="18"/>
                <w:lang w:val="en-US" w:eastAsia="en-GB"/>
              </w:rPr>
              <w:t>0% of the total)</w:t>
            </w:r>
          </w:p>
        </w:tc>
        <w:tc>
          <w:tcPr>
            <w:tcW w:w="2337" w:type="dxa"/>
            <w:shd w:val="clear" w:color="auto" w:fill="D9E2F3" w:themeFill="accent1" w:themeFillTint="33"/>
          </w:tcPr>
          <w:p w14:paraId="454CECDA" w14:textId="77777777" w:rsidR="00660827" w:rsidRPr="006737C7" w:rsidRDefault="00660827" w:rsidP="00206FB3">
            <w:pPr>
              <w:spacing w:after="0" w:line="240" w:lineRule="auto"/>
              <w:rPr>
                <w:rFonts w:ascii="Calibri" w:eastAsia="Calibri" w:hAnsi="Calibri" w:cs="Calibri"/>
                <w:color w:val="44546A"/>
                <w:sz w:val="18"/>
                <w:szCs w:val="18"/>
                <w:lang w:val="en-US" w:eastAsia="en-GB"/>
              </w:rPr>
            </w:pPr>
            <w:r>
              <w:rPr>
                <w:rFonts w:ascii="Calibri" w:eastAsia="Calibri" w:hAnsi="Calibri" w:cs="Calibri"/>
                <w:color w:val="44546A"/>
                <w:sz w:val="18"/>
                <w:szCs w:val="18"/>
                <w:lang w:val="en-US" w:eastAsia="en-GB"/>
              </w:rPr>
              <w:t>Identifiable best practices and lessons learned that are used in the best practices report</w:t>
            </w:r>
          </w:p>
          <w:p w14:paraId="33274408" w14:textId="77777777" w:rsidR="00660827" w:rsidRPr="006737C7" w:rsidRDefault="00660827" w:rsidP="00206FB3">
            <w:pPr>
              <w:spacing w:after="0" w:line="240" w:lineRule="auto"/>
              <w:rPr>
                <w:rFonts w:ascii="Calibri" w:eastAsia="Calibri" w:hAnsi="Calibri" w:cs="Calibri"/>
                <w:color w:val="44546A"/>
                <w:sz w:val="18"/>
                <w:szCs w:val="18"/>
                <w:lang w:val="en-US" w:eastAsia="en-GB"/>
              </w:rPr>
            </w:pPr>
          </w:p>
        </w:tc>
        <w:tc>
          <w:tcPr>
            <w:tcW w:w="4825" w:type="dxa"/>
            <w:shd w:val="clear" w:color="auto" w:fill="D9E2F3" w:themeFill="accent1" w:themeFillTint="33"/>
          </w:tcPr>
          <w:p w14:paraId="0469C2C6" w14:textId="1FB0D5DF" w:rsidR="00660827" w:rsidRDefault="00660827" w:rsidP="00206FB3">
            <w:pPr>
              <w:spacing w:after="0" w:line="240" w:lineRule="auto"/>
              <w:rPr>
                <w:rFonts w:ascii="Calibri" w:eastAsia="Calibri" w:hAnsi="Calibri" w:cs="Calibri"/>
                <w:color w:val="44546A"/>
                <w:sz w:val="18"/>
                <w:szCs w:val="18"/>
                <w:lang w:val="en-US" w:eastAsia="en-GB"/>
              </w:rPr>
            </w:pPr>
            <w:r>
              <w:rPr>
                <w:rFonts w:ascii="Calibri" w:eastAsia="Calibri" w:hAnsi="Calibri" w:cs="Calibri"/>
                <w:color w:val="44546A"/>
                <w:sz w:val="18"/>
                <w:szCs w:val="18"/>
                <w:lang w:val="en-US" w:eastAsia="en-GB"/>
              </w:rPr>
              <w:t xml:space="preserve">1 point for each best practice and 1 point for each lesson learned that is </w:t>
            </w:r>
            <w:r w:rsidR="00565262">
              <w:rPr>
                <w:rFonts w:ascii="Calibri" w:eastAsia="Calibri" w:hAnsi="Calibri" w:cs="Calibri"/>
                <w:color w:val="44546A"/>
                <w:sz w:val="18"/>
                <w:szCs w:val="18"/>
                <w:lang w:val="en-US" w:eastAsia="en-GB"/>
              </w:rPr>
              <w:t>identified at the end of the sandbox dialogues for inclusion</w:t>
            </w:r>
            <w:r>
              <w:rPr>
                <w:rFonts w:ascii="Calibri" w:eastAsia="Calibri" w:hAnsi="Calibri" w:cs="Calibri"/>
                <w:color w:val="44546A"/>
                <w:sz w:val="18"/>
                <w:szCs w:val="18"/>
                <w:lang w:val="en-US" w:eastAsia="en-GB"/>
              </w:rPr>
              <w:t xml:space="preserve"> in the best practices report. If more regulators/authorities participate in a dialogue that contributes the best practices/lessons learned the points will be allocated to each of these regulators/authorities. </w:t>
            </w:r>
          </w:p>
          <w:p w14:paraId="6861CD91" w14:textId="77777777" w:rsidR="00660827" w:rsidRDefault="00660827" w:rsidP="00206FB3">
            <w:pPr>
              <w:spacing w:after="0" w:line="240" w:lineRule="auto"/>
              <w:rPr>
                <w:rFonts w:ascii="Calibri" w:eastAsia="Calibri" w:hAnsi="Calibri" w:cs="Calibri"/>
                <w:color w:val="44546A"/>
                <w:sz w:val="18"/>
                <w:szCs w:val="18"/>
                <w:lang w:val="en-US" w:eastAsia="en-GB"/>
              </w:rPr>
            </w:pPr>
          </w:p>
          <w:p w14:paraId="0B1810E4" w14:textId="77777777" w:rsidR="00660827" w:rsidRPr="006737C7" w:rsidRDefault="00660827" w:rsidP="00206FB3">
            <w:pPr>
              <w:spacing w:after="0" w:line="240" w:lineRule="auto"/>
              <w:rPr>
                <w:rFonts w:ascii="Calibri" w:eastAsia="Calibri" w:hAnsi="Calibri" w:cs="Calibri"/>
                <w:color w:val="44546A"/>
                <w:sz w:val="18"/>
                <w:szCs w:val="18"/>
                <w:lang w:val="en-US" w:eastAsia="en-GB"/>
              </w:rPr>
            </w:pPr>
            <w:r>
              <w:rPr>
                <w:rFonts w:ascii="Calibri" w:eastAsia="Calibri" w:hAnsi="Calibri" w:cs="Calibri"/>
                <w:color w:val="44546A"/>
                <w:sz w:val="18"/>
                <w:szCs w:val="18"/>
                <w:lang w:val="en-US" w:eastAsia="en-GB"/>
              </w:rPr>
              <w:t>Maximum of 10 points</w:t>
            </w:r>
          </w:p>
          <w:p w14:paraId="354CACCE" w14:textId="77777777" w:rsidR="00660827" w:rsidRPr="006737C7" w:rsidRDefault="00660827" w:rsidP="00206FB3">
            <w:pPr>
              <w:spacing w:after="0" w:line="240" w:lineRule="auto"/>
              <w:rPr>
                <w:rFonts w:ascii="Calibri" w:eastAsia="Calibri" w:hAnsi="Calibri" w:cs="Calibri"/>
                <w:color w:val="44546A"/>
                <w:sz w:val="18"/>
                <w:szCs w:val="18"/>
                <w:lang w:val="en-US" w:eastAsia="en-GB"/>
              </w:rPr>
            </w:pPr>
          </w:p>
        </w:tc>
      </w:tr>
    </w:tbl>
    <w:p w14:paraId="406AB84E" w14:textId="77777777" w:rsidR="00660827" w:rsidRPr="006737C7" w:rsidRDefault="00660827" w:rsidP="00660827">
      <w:pPr>
        <w:spacing w:after="0" w:line="240" w:lineRule="auto"/>
        <w:jc w:val="both"/>
        <w:rPr>
          <w:rFonts w:ascii="Georgia" w:eastAsia="Georgia" w:hAnsi="Georgia" w:cs="Times New Roman"/>
          <w:lang w:val="en-US" w:eastAsia="en-GB"/>
        </w:rPr>
      </w:pPr>
    </w:p>
    <w:p w14:paraId="435B5E4D" w14:textId="77777777" w:rsidR="006737C7" w:rsidRPr="00CB2A45" w:rsidRDefault="006737C7" w:rsidP="00660827">
      <w:pPr>
        <w:spacing w:after="0" w:line="240" w:lineRule="auto"/>
        <w:ind w:left="-284" w:right="-472"/>
        <w:rPr>
          <w:rFonts w:ascii="Calibri" w:eastAsia="Calibri" w:hAnsi="Calibri" w:cs="Calibri"/>
          <w:b/>
          <w:bCs/>
          <w:sz w:val="20"/>
          <w:szCs w:val="20"/>
          <w:lang w:val="en-US" w:eastAsia="en-GB"/>
        </w:rPr>
      </w:pPr>
      <w:r w:rsidRPr="00CB2A45">
        <w:rPr>
          <w:rFonts w:ascii="Calibri" w:eastAsia="Calibri" w:hAnsi="Calibri" w:cs="Calibri"/>
          <w:b/>
          <w:bCs/>
          <w:sz w:val="20"/>
          <w:szCs w:val="20"/>
          <w:u w:val="single"/>
          <w:lang w:val="en-US" w:eastAsia="en-GB"/>
        </w:rPr>
        <w:t>Calculation Formula</w:t>
      </w:r>
      <w:r w:rsidRPr="00CB2A45">
        <w:rPr>
          <w:rFonts w:ascii="Calibri" w:eastAsia="Calibri" w:hAnsi="Calibri" w:cs="Calibri"/>
          <w:b/>
          <w:bCs/>
          <w:sz w:val="20"/>
          <w:szCs w:val="20"/>
          <w:lang w:val="en-US" w:eastAsia="en-GB"/>
        </w:rPr>
        <w:t>:</w:t>
      </w:r>
    </w:p>
    <w:p w14:paraId="4652B6CE" w14:textId="5E099C55" w:rsidR="00DC489E" w:rsidRDefault="006737C7" w:rsidP="00660827">
      <w:pPr>
        <w:spacing w:after="0" w:line="240" w:lineRule="auto"/>
        <w:ind w:left="-284" w:right="-472"/>
        <w:rPr>
          <w:lang w:val="en-US"/>
        </w:rPr>
      </w:pPr>
      <w:r w:rsidRPr="00CB2A45">
        <w:rPr>
          <w:rFonts w:ascii="Calibri" w:eastAsia="Calibri" w:hAnsi="Calibri" w:cs="Calibri"/>
          <w:sz w:val="20"/>
          <w:szCs w:val="20"/>
          <w:lang w:val="en-US" w:eastAsia="en-GB"/>
        </w:rPr>
        <w:t xml:space="preserve">Total Score = (Points allocated to each criterion/Total </w:t>
      </w:r>
      <w:proofErr w:type="gramStart"/>
      <w:r w:rsidRPr="00CB2A45">
        <w:rPr>
          <w:rFonts w:ascii="Calibri" w:eastAsia="Calibri" w:hAnsi="Calibri" w:cs="Calibri"/>
          <w:sz w:val="20"/>
          <w:szCs w:val="20"/>
          <w:lang w:val="en-US" w:eastAsia="en-GB"/>
        </w:rPr>
        <w:t>points</w:t>
      </w:r>
      <w:proofErr w:type="gramEnd"/>
      <w:r w:rsidRPr="00CB2A45">
        <w:rPr>
          <w:rFonts w:ascii="Calibri" w:eastAsia="Calibri" w:hAnsi="Calibri" w:cs="Calibri"/>
          <w:sz w:val="20"/>
          <w:szCs w:val="20"/>
          <w:lang w:val="en-US" w:eastAsia="en-GB"/>
        </w:rPr>
        <w:t xml:space="preserve"> in each criterion) * (% Weight of each criterion)</w:t>
      </w:r>
    </w:p>
    <w:p w14:paraId="2BA888BE" w14:textId="52D65D1C" w:rsidR="00DC489E" w:rsidRDefault="00DC489E" w:rsidP="00660827">
      <w:pPr>
        <w:spacing w:after="0" w:line="240" w:lineRule="auto"/>
        <w:ind w:left="-284" w:right="-472"/>
        <w:rPr>
          <w:lang w:val="en-US"/>
        </w:rPr>
      </w:pPr>
    </w:p>
    <w:p w14:paraId="04BED504" w14:textId="5521495D" w:rsidR="00DC489E" w:rsidRPr="00D1350B" w:rsidRDefault="00DC489E" w:rsidP="00660827">
      <w:pPr>
        <w:spacing w:after="0" w:line="240" w:lineRule="auto"/>
        <w:ind w:left="-284" w:right="-472"/>
        <w:rPr>
          <w:rFonts w:ascii="Calibri" w:eastAsia="Calibri" w:hAnsi="Calibri" w:cs="Calibri"/>
          <w:b/>
          <w:bCs/>
          <w:sz w:val="20"/>
          <w:szCs w:val="20"/>
          <w:u w:val="single"/>
          <w:lang w:val="en-US" w:eastAsia="en-GB"/>
        </w:rPr>
      </w:pPr>
      <w:r w:rsidRPr="00D1350B">
        <w:rPr>
          <w:rFonts w:ascii="Calibri" w:eastAsia="Calibri" w:hAnsi="Calibri" w:cs="Calibri"/>
          <w:b/>
          <w:bCs/>
          <w:sz w:val="20"/>
          <w:szCs w:val="20"/>
          <w:u w:val="single"/>
          <w:lang w:val="en-US" w:eastAsia="en-GB"/>
        </w:rPr>
        <w:t xml:space="preserve">Comment: </w:t>
      </w:r>
    </w:p>
    <w:p w14:paraId="79086A32" w14:textId="290DC49F" w:rsidR="00DC489E" w:rsidRPr="00DC489E" w:rsidRDefault="00DC489E" w:rsidP="00660827">
      <w:pPr>
        <w:spacing w:after="0" w:line="240" w:lineRule="auto"/>
        <w:ind w:left="-284" w:right="-472"/>
        <w:rPr>
          <w:rFonts w:ascii="Calibri" w:eastAsia="Calibri" w:hAnsi="Calibri" w:cs="Calibri"/>
          <w:sz w:val="20"/>
          <w:szCs w:val="20"/>
          <w:lang w:val="en-US" w:eastAsia="en-GB"/>
        </w:rPr>
      </w:pPr>
      <w:r>
        <w:rPr>
          <w:rFonts w:ascii="Calibri" w:eastAsia="Calibri" w:hAnsi="Calibri" w:cs="Calibri"/>
          <w:sz w:val="20"/>
          <w:szCs w:val="20"/>
          <w:lang w:val="en-US" w:eastAsia="en-GB"/>
        </w:rPr>
        <w:t>The award criteria for the 2</w:t>
      </w:r>
      <w:r w:rsidRPr="00D1350B">
        <w:rPr>
          <w:rFonts w:ascii="Calibri" w:eastAsia="Calibri" w:hAnsi="Calibri" w:cs="Calibri"/>
          <w:sz w:val="20"/>
          <w:szCs w:val="20"/>
          <w:vertAlign w:val="superscript"/>
          <w:lang w:val="en-US" w:eastAsia="en-GB"/>
        </w:rPr>
        <w:t>nd</w:t>
      </w:r>
      <w:r>
        <w:rPr>
          <w:rFonts w:ascii="Calibri" w:eastAsia="Calibri" w:hAnsi="Calibri" w:cs="Calibri"/>
          <w:sz w:val="20"/>
          <w:szCs w:val="20"/>
          <w:lang w:val="en-US" w:eastAsia="en-GB"/>
        </w:rPr>
        <w:t xml:space="preserve"> and the 3</w:t>
      </w:r>
      <w:r w:rsidRPr="00D1350B">
        <w:rPr>
          <w:rFonts w:ascii="Calibri" w:eastAsia="Calibri" w:hAnsi="Calibri" w:cs="Calibri"/>
          <w:sz w:val="20"/>
          <w:szCs w:val="20"/>
          <w:vertAlign w:val="superscript"/>
          <w:lang w:val="en-US" w:eastAsia="en-GB"/>
        </w:rPr>
        <w:t>rd</w:t>
      </w:r>
      <w:r>
        <w:rPr>
          <w:rFonts w:ascii="Calibri" w:eastAsia="Calibri" w:hAnsi="Calibri" w:cs="Calibri"/>
          <w:sz w:val="20"/>
          <w:szCs w:val="20"/>
          <w:lang w:val="en-US" w:eastAsia="en-GB"/>
        </w:rPr>
        <w:t xml:space="preserve"> cohorts may be changed. </w:t>
      </w:r>
      <w:r w:rsidRPr="00D1350B">
        <w:rPr>
          <w:rFonts w:ascii="Calibri" w:eastAsia="Calibri" w:hAnsi="Calibri" w:cs="Calibri"/>
          <w:sz w:val="20"/>
          <w:szCs w:val="20"/>
          <w:lang w:val="en-US" w:eastAsia="en-GB"/>
        </w:rPr>
        <w:t xml:space="preserve">For the </w:t>
      </w:r>
      <w:r>
        <w:rPr>
          <w:rFonts w:ascii="Calibri" w:eastAsia="Calibri" w:hAnsi="Calibri" w:cs="Calibri"/>
          <w:sz w:val="20"/>
          <w:szCs w:val="20"/>
          <w:lang w:val="en-US" w:eastAsia="en-GB"/>
        </w:rPr>
        <w:t>next</w:t>
      </w:r>
      <w:r w:rsidRPr="00D1350B">
        <w:rPr>
          <w:rFonts w:ascii="Calibri" w:eastAsia="Calibri" w:hAnsi="Calibri" w:cs="Calibri"/>
          <w:sz w:val="20"/>
          <w:szCs w:val="20"/>
          <w:lang w:val="en-US" w:eastAsia="en-GB"/>
        </w:rPr>
        <w:t xml:space="preserve"> application round</w:t>
      </w:r>
      <w:r>
        <w:rPr>
          <w:rFonts w:ascii="Calibri" w:eastAsia="Calibri" w:hAnsi="Calibri" w:cs="Calibri"/>
          <w:sz w:val="20"/>
          <w:szCs w:val="20"/>
          <w:lang w:val="en-US" w:eastAsia="en-GB"/>
        </w:rPr>
        <w:t>s</w:t>
      </w:r>
      <w:r w:rsidRPr="00D1350B">
        <w:rPr>
          <w:rFonts w:ascii="Calibri" w:eastAsia="Calibri" w:hAnsi="Calibri" w:cs="Calibri"/>
          <w:sz w:val="20"/>
          <w:szCs w:val="20"/>
          <w:lang w:val="en-US" w:eastAsia="en-GB"/>
        </w:rPr>
        <w:t xml:space="preserve"> “regulator support during the application phase” will be added as an extra award criterion.</w:t>
      </w:r>
    </w:p>
    <w:sectPr w:rsidR="00DC489E" w:rsidRPr="00DC489E" w:rsidSect="00AF019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BC834F" w14:textId="77777777" w:rsidR="00B139BD" w:rsidRDefault="00B139BD" w:rsidP="00BA014C">
      <w:pPr>
        <w:spacing w:after="0" w:line="240" w:lineRule="auto"/>
      </w:pPr>
      <w:r>
        <w:separator/>
      </w:r>
    </w:p>
  </w:endnote>
  <w:endnote w:type="continuationSeparator" w:id="0">
    <w:p w14:paraId="0CB9CD65" w14:textId="77777777" w:rsidR="00B139BD" w:rsidRDefault="00B139BD" w:rsidP="00BA01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3EFF86" w14:textId="77777777" w:rsidR="00B139BD" w:rsidRDefault="00B139BD" w:rsidP="00BA014C">
      <w:pPr>
        <w:spacing w:after="0" w:line="240" w:lineRule="auto"/>
      </w:pPr>
      <w:r>
        <w:separator/>
      </w:r>
    </w:p>
  </w:footnote>
  <w:footnote w:type="continuationSeparator" w:id="0">
    <w:p w14:paraId="1D9767D1" w14:textId="77777777" w:rsidR="00B139BD" w:rsidRDefault="00B139BD" w:rsidP="00BA014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20921"/>
    <w:multiLevelType w:val="multilevel"/>
    <w:tmpl w:val="94DAEFD0"/>
    <w:styleLink w:val="NumbLstBullets"/>
    <w:lvl w:ilvl="0">
      <w:start w:val="1"/>
      <w:numFmt w:val="bullet"/>
      <w:pStyle w:val="Bullet1"/>
      <w:lvlText w:val=""/>
      <w:lvlJc w:val="left"/>
      <w:pPr>
        <w:tabs>
          <w:tab w:val="num" w:pos="284"/>
        </w:tabs>
        <w:ind w:left="284" w:hanging="284"/>
      </w:pPr>
      <w:rPr>
        <w:rFonts w:ascii="Symbol" w:hAnsi="Symbol" w:hint="default"/>
        <w:color w:val="44546A" w:themeColor="text2"/>
      </w:rPr>
    </w:lvl>
    <w:lvl w:ilvl="1">
      <w:start w:val="1"/>
      <w:numFmt w:val="bullet"/>
      <w:pStyle w:val="Bullet2"/>
      <w:lvlText w:val="–"/>
      <w:lvlJc w:val="left"/>
      <w:pPr>
        <w:tabs>
          <w:tab w:val="num" w:pos="567"/>
        </w:tabs>
        <w:ind w:left="567" w:hanging="283"/>
      </w:pPr>
      <w:rPr>
        <w:rFonts w:ascii="Calibri" w:hAnsi="Calibri" w:hint="default"/>
        <w:color w:val="4472C4" w:themeColor="accent1"/>
      </w:rPr>
    </w:lvl>
    <w:lvl w:ilvl="2">
      <w:start w:val="1"/>
      <w:numFmt w:val="bullet"/>
      <w:pStyle w:val="Bullet3"/>
      <w:lvlText w:val="–"/>
      <w:lvlJc w:val="left"/>
      <w:pPr>
        <w:tabs>
          <w:tab w:val="num" w:pos="851"/>
        </w:tabs>
        <w:ind w:left="851" w:hanging="284"/>
      </w:pPr>
      <w:rPr>
        <w:rFonts w:ascii="Calibri" w:hAnsi="Calibri" w:hint="default"/>
        <w:color w:val="4472C4" w:themeColor="accent1"/>
      </w:rPr>
    </w:lvl>
    <w:lvl w:ilvl="3">
      <w:start w:val="1"/>
      <w:numFmt w:val="none"/>
      <w:lvlText w:val=""/>
      <w:lvlJc w:val="left"/>
      <w:pPr>
        <w:tabs>
          <w:tab w:val="num" w:pos="340"/>
        </w:tabs>
        <w:ind w:left="340" w:hanging="170"/>
      </w:pPr>
      <w:rPr>
        <w:rFonts w:hint="default"/>
        <w:color w:val="4472C4" w:themeColor="accent1"/>
      </w:rPr>
    </w:lvl>
    <w:lvl w:ilvl="4">
      <w:start w:val="1"/>
      <w:numFmt w:val="none"/>
      <w:suff w:val="nothing"/>
      <w:lvlText w:val=""/>
      <w:lvlJc w:val="left"/>
      <w:pPr>
        <w:ind w:left="340" w:firstLine="0"/>
      </w:pPr>
      <w:rPr>
        <w:rFonts w:hint="default"/>
      </w:rPr>
    </w:lvl>
    <w:lvl w:ilvl="5">
      <w:start w:val="1"/>
      <w:numFmt w:val="bullet"/>
      <w:pStyle w:val="ProfileBullet1"/>
      <w:lvlText w:val=""/>
      <w:lvlJc w:val="left"/>
      <w:pPr>
        <w:tabs>
          <w:tab w:val="num" w:pos="284"/>
        </w:tabs>
        <w:ind w:left="284" w:hanging="171"/>
      </w:pPr>
      <w:rPr>
        <w:rFonts w:ascii="Symbol" w:hAnsi="Symbol" w:hint="default"/>
        <w:color w:val="4472C4" w:themeColor="accent1"/>
      </w:rPr>
    </w:lvl>
    <w:lvl w:ilvl="6">
      <w:start w:val="1"/>
      <w:numFmt w:val="bullet"/>
      <w:pStyle w:val="CaseSBoxBullet1"/>
      <w:lvlText w:val=""/>
      <w:lvlJc w:val="left"/>
      <w:pPr>
        <w:tabs>
          <w:tab w:val="num" w:pos="340"/>
        </w:tabs>
        <w:ind w:left="340" w:hanging="170"/>
      </w:pPr>
      <w:rPr>
        <w:rFonts w:ascii="Symbol" w:hAnsi="Symbol" w:hint="default"/>
        <w:color w:val="4472C4" w:themeColor="accent1"/>
      </w:rPr>
    </w:lvl>
    <w:lvl w:ilvl="7">
      <w:start w:val="1"/>
      <w:numFmt w:val="none"/>
      <w:suff w:val="nothing"/>
      <w:lvlText w:val=""/>
      <w:lvlJc w:val="left"/>
      <w:pPr>
        <w:ind w:left="340" w:firstLine="0"/>
      </w:pPr>
      <w:rPr>
        <w:rFonts w:hint="default"/>
      </w:rPr>
    </w:lvl>
    <w:lvl w:ilvl="8">
      <w:start w:val="1"/>
      <w:numFmt w:val="none"/>
      <w:suff w:val="nothing"/>
      <w:lvlText w:val=""/>
      <w:lvlJc w:val="left"/>
      <w:pPr>
        <w:ind w:left="340" w:firstLine="0"/>
      </w:pPr>
      <w:rPr>
        <w:rFonts w:hint="default"/>
      </w:rPr>
    </w:lvl>
  </w:abstractNum>
  <w:abstractNum w:abstractNumId="1" w15:restartNumberingAfterBreak="0">
    <w:nsid w:val="03D11075"/>
    <w:multiLevelType w:val="hybridMultilevel"/>
    <w:tmpl w:val="D29E9DCA"/>
    <w:lvl w:ilvl="0" w:tplc="CD7450F2">
      <w:start w:val="1"/>
      <w:numFmt w:val="bullet"/>
      <w:lvlText w:val="-"/>
      <w:lvlJc w:val="left"/>
      <w:pPr>
        <w:ind w:left="720" w:hanging="360"/>
      </w:pPr>
      <w:rPr>
        <w:rFonts w:ascii="Trebuchet MS" w:eastAsia="Calibri" w:hAnsi="Trebuchet MS" w:cs="Calibri"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2" w15:restartNumberingAfterBreak="0">
    <w:nsid w:val="1B442FEC"/>
    <w:multiLevelType w:val="multilevel"/>
    <w:tmpl w:val="3AAC53FA"/>
    <w:lvl w:ilvl="0">
      <w:start w:val="1"/>
      <w:numFmt w:val="decimal"/>
      <w:lvlText w:val="%1."/>
      <w:lvlJc w:val="left"/>
      <w:pPr>
        <w:ind w:left="720" w:hanging="360"/>
      </w:pPr>
    </w:lvl>
    <w:lvl w:ilvl="1">
      <w:start w:val="1"/>
      <w:numFmt w:val="lowerLetter"/>
      <w:lvlText w:val="%2."/>
      <w:lvlJc w:val="left"/>
      <w:pPr>
        <w:ind w:left="1440" w:hanging="360"/>
      </w:pPr>
    </w:lvl>
    <w:lvl w:ilvl="2">
      <w:start w:val="1"/>
      <w:numFmt w:val="bullet"/>
      <w:lvlText w:val=""/>
      <w:lvlJc w:val="left"/>
      <w:pPr>
        <w:ind w:left="2160" w:hanging="360"/>
      </w:pPr>
      <w:rPr>
        <w:rFonts w:ascii="Wingdings" w:hAnsi="Wingdings" w:hint="default"/>
        <w:sz w:val="20"/>
        <w:szCs w:val="20"/>
      </w:r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15:restartNumberingAfterBreak="0">
    <w:nsid w:val="3EAB73B2"/>
    <w:multiLevelType w:val="hybridMultilevel"/>
    <w:tmpl w:val="A7643C3E"/>
    <w:lvl w:ilvl="0" w:tplc="55C4C12E">
      <w:start w:val="2"/>
      <w:numFmt w:val="bullet"/>
      <w:lvlText w:val="-"/>
      <w:lvlJc w:val="left"/>
      <w:pPr>
        <w:ind w:left="720" w:hanging="360"/>
      </w:pPr>
      <w:rPr>
        <w:rFonts w:ascii="Georgia" w:eastAsia="Georgia" w:hAnsi="Georgi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07C208A"/>
    <w:multiLevelType w:val="multilevel"/>
    <w:tmpl w:val="0F323E66"/>
    <w:lvl w:ilvl="0">
      <w:start w:val="1"/>
      <w:numFmt w:val="decimal"/>
      <w:lvlText w:val="%1."/>
      <w:lvlJc w:val="left"/>
      <w:pPr>
        <w:ind w:left="720" w:hanging="360"/>
      </w:pPr>
    </w:lvl>
    <w:lvl w:ilvl="1">
      <w:start w:val="1"/>
      <w:numFmt w:val="lowerLetter"/>
      <w:lvlText w:val="%2."/>
      <w:lvlJc w:val="left"/>
      <w:pPr>
        <w:ind w:left="1440" w:hanging="360"/>
      </w:pPr>
    </w:lvl>
    <w:lvl w:ilvl="2">
      <w:start w:val="1"/>
      <w:numFmt w:val="bullet"/>
      <w:lvlText w:val=""/>
      <w:lvlJc w:val="left"/>
      <w:pPr>
        <w:ind w:left="2160" w:hanging="360"/>
      </w:pPr>
      <w:rPr>
        <w:rFonts w:ascii="Symbol" w:hAnsi="Symbol" w:hint="default"/>
        <w:sz w:val="20"/>
        <w:szCs w:val="20"/>
      </w:r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5" w15:restartNumberingAfterBreak="0">
    <w:nsid w:val="61217A57"/>
    <w:multiLevelType w:val="multilevel"/>
    <w:tmpl w:val="94DAEFD0"/>
    <w:numStyleLink w:val="NumbLstBullets"/>
  </w:abstractNum>
  <w:num w:numId="1" w16cid:durableId="443623137">
    <w:abstractNumId w:val="3"/>
  </w:num>
  <w:num w:numId="2" w16cid:durableId="1053432752">
    <w:abstractNumId w:val="2"/>
  </w:num>
  <w:num w:numId="3" w16cid:durableId="1690372052">
    <w:abstractNumId w:val="4"/>
  </w:num>
  <w:num w:numId="4" w16cid:durableId="1356929845">
    <w:abstractNumId w:val="0"/>
  </w:num>
  <w:num w:numId="5" w16cid:durableId="99958920">
    <w:abstractNumId w:val="5"/>
  </w:num>
  <w:num w:numId="6" w16cid:durableId="174525458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TMS_CultureId" w:val="en-GB"/>
    <w:docVar w:name="TMS_OfficeId" w:val="HongKong"/>
  </w:docVars>
  <w:rsids>
    <w:rsidRoot w:val="001A3F75"/>
    <w:rsid w:val="000075BB"/>
    <w:rsid w:val="00030F55"/>
    <w:rsid w:val="000329BF"/>
    <w:rsid w:val="000571F6"/>
    <w:rsid w:val="00075544"/>
    <w:rsid w:val="00081F31"/>
    <w:rsid w:val="000A331F"/>
    <w:rsid w:val="000B6D00"/>
    <w:rsid w:val="000C1911"/>
    <w:rsid w:val="000D4BD2"/>
    <w:rsid w:val="000D626E"/>
    <w:rsid w:val="000E6A61"/>
    <w:rsid w:val="000F0C13"/>
    <w:rsid w:val="00116495"/>
    <w:rsid w:val="00120290"/>
    <w:rsid w:val="00126290"/>
    <w:rsid w:val="00131B7F"/>
    <w:rsid w:val="001418EE"/>
    <w:rsid w:val="00143BEE"/>
    <w:rsid w:val="001904FA"/>
    <w:rsid w:val="001A3F75"/>
    <w:rsid w:val="001D32DC"/>
    <w:rsid w:val="001D458D"/>
    <w:rsid w:val="001F7447"/>
    <w:rsid w:val="00223EAD"/>
    <w:rsid w:val="00227EC1"/>
    <w:rsid w:val="00266327"/>
    <w:rsid w:val="002776AE"/>
    <w:rsid w:val="00283B83"/>
    <w:rsid w:val="00287541"/>
    <w:rsid w:val="002B04BA"/>
    <w:rsid w:val="002B2B15"/>
    <w:rsid w:val="002B7A9B"/>
    <w:rsid w:val="002D454B"/>
    <w:rsid w:val="002E6161"/>
    <w:rsid w:val="00304DE9"/>
    <w:rsid w:val="00314254"/>
    <w:rsid w:val="00314CC5"/>
    <w:rsid w:val="003218D1"/>
    <w:rsid w:val="003279DC"/>
    <w:rsid w:val="00381A16"/>
    <w:rsid w:val="00381D07"/>
    <w:rsid w:val="003C32D5"/>
    <w:rsid w:val="003D57F9"/>
    <w:rsid w:val="00401037"/>
    <w:rsid w:val="00406A19"/>
    <w:rsid w:val="00410082"/>
    <w:rsid w:val="00447981"/>
    <w:rsid w:val="004B22C6"/>
    <w:rsid w:val="004B5260"/>
    <w:rsid w:val="004C27CE"/>
    <w:rsid w:val="004D731D"/>
    <w:rsid w:val="004E7065"/>
    <w:rsid w:val="004F1BBB"/>
    <w:rsid w:val="005109CF"/>
    <w:rsid w:val="00537AE3"/>
    <w:rsid w:val="00540922"/>
    <w:rsid w:val="00564F40"/>
    <w:rsid w:val="00565262"/>
    <w:rsid w:val="00566629"/>
    <w:rsid w:val="005775D3"/>
    <w:rsid w:val="005837EB"/>
    <w:rsid w:val="0058542A"/>
    <w:rsid w:val="005A3EA7"/>
    <w:rsid w:val="005A523A"/>
    <w:rsid w:val="005B2239"/>
    <w:rsid w:val="005C62D7"/>
    <w:rsid w:val="005C7263"/>
    <w:rsid w:val="005E5A62"/>
    <w:rsid w:val="00630FC6"/>
    <w:rsid w:val="00641390"/>
    <w:rsid w:val="006419F5"/>
    <w:rsid w:val="00643DA4"/>
    <w:rsid w:val="006554A8"/>
    <w:rsid w:val="00655A91"/>
    <w:rsid w:val="00660827"/>
    <w:rsid w:val="006737C7"/>
    <w:rsid w:val="006A4E98"/>
    <w:rsid w:val="006D2C6C"/>
    <w:rsid w:val="006D7F34"/>
    <w:rsid w:val="006E4B98"/>
    <w:rsid w:val="006F0D0B"/>
    <w:rsid w:val="006F45E1"/>
    <w:rsid w:val="00706FF3"/>
    <w:rsid w:val="00774366"/>
    <w:rsid w:val="00777766"/>
    <w:rsid w:val="00783259"/>
    <w:rsid w:val="007953C2"/>
    <w:rsid w:val="007A576E"/>
    <w:rsid w:val="007A6346"/>
    <w:rsid w:val="007B02C8"/>
    <w:rsid w:val="0082066A"/>
    <w:rsid w:val="00833EBC"/>
    <w:rsid w:val="00853D22"/>
    <w:rsid w:val="008563E0"/>
    <w:rsid w:val="008571E0"/>
    <w:rsid w:val="008602A8"/>
    <w:rsid w:val="008716D0"/>
    <w:rsid w:val="008A1833"/>
    <w:rsid w:val="008C466E"/>
    <w:rsid w:val="00922700"/>
    <w:rsid w:val="00952DB9"/>
    <w:rsid w:val="00966189"/>
    <w:rsid w:val="00976EF0"/>
    <w:rsid w:val="009911E7"/>
    <w:rsid w:val="009A43CA"/>
    <w:rsid w:val="009C033F"/>
    <w:rsid w:val="00A05DE9"/>
    <w:rsid w:val="00A359FF"/>
    <w:rsid w:val="00A46A91"/>
    <w:rsid w:val="00A529B1"/>
    <w:rsid w:val="00A948F7"/>
    <w:rsid w:val="00AB5F2C"/>
    <w:rsid w:val="00AD0AEF"/>
    <w:rsid w:val="00AF0196"/>
    <w:rsid w:val="00B139BD"/>
    <w:rsid w:val="00B22EDF"/>
    <w:rsid w:val="00B26CE9"/>
    <w:rsid w:val="00B32C66"/>
    <w:rsid w:val="00B33783"/>
    <w:rsid w:val="00B337E3"/>
    <w:rsid w:val="00B34B4E"/>
    <w:rsid w:val="00BA014C"/>
    <w:rsid w:val="00BA028F"/>
    <w:rsid w:val="00BA35F4"/>
    <w:rsid w:val="00BD562B"/>
    <w:rsid w:val="00BE4140"/>
    <w:rsid w:val="00BE4C76"/>
    <w:rsid w:val="00C03BB4"/>
    <w:rsid w:val="00C044CC"/>
    <w:rsid w:val="00C11AE3"/>
    <w:rsid w:val="00C23150"/>
    <w:rsid w:val="00C34CDD"/>
    <w:rsid w:val="00C35A3B"/>
    <w:rsid w:val="00C3695B"/>
    <w:rsid w:val="00C83136"/>
    <w:rsid w:val="00C95592"/>
    <w:rsid w:val="00CB2A45"/>
    <w:rsid w:val="00CE520D"/>
    <w:rsid w:val="00D1350B"/>
    <w:rsid w:val="00D556AA"/>
    <w:rsid w:val="00D724EF"/>
    <w:rsid w:val="00D8546B"/>
    <w:rsid w:val="00D91296"/>
    <w:rsid w:val="00DC489E"/>
    <w:rsid w:val="00DD553A"/>
    <w:rsid w:val="00DE5171"/>
    <w:rsid w:val="00DF4440"/>
    <w:rsid w:val="00E3769B"/>
    <w:rsid w:val="00E404C7"/>
    <w:rsid w:val="00E46B65"/>
    <w:rsid w:val="00E5648E"/>
    <w:rsid w:val="00E9280E"/>
    <w:rsid w:val="00EC7316"/>
    <w:rsid w:val="00ED64AF"/>
    <w:rsid w:val="00F20B3B"/>
    <w:rsid w:val="00F3194F"/>
    <w:rsid w:val="00F64ADE"/>
    <w:rsid w:val="00F865CB"/>
    <w:rsid w:val="00F865F2"/>
    <w:rsid w:val="00FD5387"/>
  </w:rsids>
  <m:mathPr>
    <m:mathFont m:val="Cambria Math"/>
    <m:brkBin m:val="before"/>
    <m:brkBinSub m:val="--"/>
    <m:smallFrac m:val="0"/>
    <m:dispDef/>
    <m:lMargin m:val="0"/>
    <m:rMargin m:val="0"/>
    <m:defJc m:val="centerGroup"/>
    <m:wrapIndent m:val="1440"/>
    <m:intLim m:val="subSup"/>
    <m:naryLim m:val="undOvr"/>
  </m:mathPr>
  <w:themeFontLang w:val="nl-NL"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BF5207"/>
  <w15:chartTrackingRefBased/>
  <w15:docId w15:val="{81968C80-2C3B-49B8-B0C1-BA46491C0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unhideWhenUsed/>
    <w:rsid w:val="006737C7"/>
    <w:rPr>
      <w:sz w:val="16"/>
      <w:szCs w:val="16"/>
    </w:rPr>
  </w:style>
  <w:style w:type="paragraph" w:styleId="CommentText">
    <w:name w:val="annotation text"/>
    <w:basedOn w:val="Normal"/>
    <w:link w:val="CommentTextChar"/>
    <w:uiPriority w:val="99"/>
    <w:unhideWhenUsed/>
    <w:rsid w:val="006737C7"/>
    <w:pPr>
      <w:spacing w:after="0" w:line="240" w:lineRule="auto"/>
      <w:jc w:val="both"/>
    </w:pPr>
    <w:rPr>
      <w:rFonts w:ascii="Georgia" w:eastAsia="Georgia" w:hAnsi="Georgia" w:cs="Times New Roman"/>
      <w:sz w:val="20"/>
      <w:szCs w:val="20"/>
      <w:lang w:eastAsia="en-GB"/>
    </w:rPr>
  </w:style>
  <w:style w:type="character" w:customStyle="1" w:styleId="CommentTextChar">
    <w:name w:val="Comment Text Char"/>
    <w:basedOn w:val="DefaultParagraphFont"/>
    <w:link w:val="CommentText"/>
    <w:uiPriority w:val="99"/>
    <w:rsid w:val="006737C7"/>
    <w:rPr>
      <w:rFonts w:ascii="Georgia" w:eastAsia="Georgia" w:hAnsi="Georgia" w:cs="Times New Roman"/>
      <w:sz w:val="20"/>
      <w:szCs w:val="20"/>
      <w:lang w:eastAsia="en-GB"/>
    </w:rPr>
  </w:style>
  <w:style w:type="paragraph" w:customStyle="1" w:styleId="Bullet1">
    <w:name w:val="Bullet 1"/>
    <w:basedOn w:val="Normal"/>
    <w:uiPriority w:val="5"/>
    <w:qFormat/>
    <w:rsid w:val="001F7447"/>
    <w:pPr>
      <w:numPr>
        <w:numId w:val="5"/>
      </w:numPr>
      <w:spacing w:after="120" w:line="252" w:lineRule="auto"/>
    </w:pPr>
    <w:rPr>
      <w:rFonts w:ascii="Arial" w:hAnsi="Arial"/>
      <w:color w:val="000000" w:themeColor="text1"/>
      <w:sz w:val="20"/>
    </w:rPr>
  </w:style>
  <w:style w:type="paragraph" w:customStyle="1" w:styleId="Bullet2">
    <w:name w:val="Bullet 2"/>
    <w:basedOn w:val="Normal"/>
    <w:uiPriority w:val="5"/>
    <w:qFormat/>
    <w:rsid w:val="001F7447"/>
    <w:pPr>
      <w:numPr>
        <w:ilvl w:val="1"/>
        <w:numId w:val="5"/>
      </w:numPr>
      <w:spacing w:after="120" w:line="252" w:lineRule="auto"/>
    </w:pPr>
    <w:rPr>
      <w:rFonts w:ascii="Arial" w:hAnsi="Arial"/>
      <w:color w:val="000000" w:themeColor="text1"/>
      <w:sz w:val="20"/>
    </w:rPr>
  </w:style>
  <w:style w:type="paragraph" w:customStyle="1" w:styleId="Bullet3">
    <w:name w:val="Bullet 3"/>
    <w:basedOn w:val="Normal"/>
    <w:uiPriority w:val="5"/>
    <w:qFormat/>
    <w:rsid w:val="001F7447"/>
    <w:pPr>
      <w:numPr>
        <w:ilvl w:val="2"/>
        <w:numId w:val="5"/>
      </w:numPr>
      <w:spacing w:after="120" w:line="252" w:lineRule="auto"/>
    </w:pPr>
    <w:rPr>
      <w:rFonts w:ascii="Arial" w:hAnsi="Arial"/>
      <w:color w:val="000000" w:themeColor="text1"/>
      <w:sz w:val="20"/>
    </w:rPr>
  </w:style>
  <w:style w:type="paragraph" w:customStyle="1" w:styleId="CaseSBoxBullet1">
    <w:name w:val="CaseSBoxBullet 1"/>
    <w:basedOn w:val="Normal"/>
    <w:uiPriority w:val="38"/>
    <w:qFormat/>
    <w:rsid w:val="001F7447"/>
    <w:pPr>
      <w:numPr>
        <w:ilvl w:val="6"/>
        <w:numId w:val="5"/>
      </w:numPr>
      <w:spacing w:before="120" w:after="120" w:line="276" w:lineRule="auto"/>
      <w:ind w:right="170"/>
    </w:pPr>
    <w:rPr>
      <w:rFonts w:ascii="Arial" w:hAnsi="Arial"/>
      <w:color w:val="000000" w:themeColor="text1"/>
      <w:sz w:val="18"/>
    </w:rPr>
  </w:style>
  <w:style w:type="numbering" w:customStyle="1" w:styleId="NumbLstBullets">
    <w:name w:val="NumbLstBullets"/>
    <w:uiPriority w:val="99"/>
    <w:rsid w:val="001F7447"/>
    <w:pPr>
      <w:numPr>
        <w:numId w:val="4"/>
      </w:numPr>
    </w:pPr>
  </w:style>
  <w:style w:type="paragraph" w:customStyle="1" w:styleId="ProfileBullet1">
    <w:name w:val="ProfileBullet 1"/>
    <w:basedOn w:val="Normal"/>
    <w:uiPriority w:val="14"/>
    <w:qFormat/>
    <w:rsid w:val="001F7447"/>
    <w:pPr>
      <w:numPr>
        <w:ilvl w:val="5"/>
        <w:numId w:val="5"/>
      </w:numPr>
      <w:spacing w:before="120" w:after="120" w:line="240" w:lineRule="auto"/>
      <w:ind w:right="113"/>
    </w:pPr>
    <w:rPr>
      <w:rFonts w:ascii="Arial" w:hAnsi="Arial"/>
      <w:color w:val="000000" w:themeColor="text1"/>
      <w:sz w:val="18"/>
    </w:rPr>
  </w:style>
  <w:style w:type="paragraph" w:styleId="ListParagraph">
    <w:name w:val="List Paragraph"/>
    <w:basedOn w:val="Normal"/>
    <w:uiPriority w:val="34"/>
    <w:qFormat/>
    <w:rsid w:val="009A43CA"/>
    <w:pPr>
      <w:spacing w:after="0" w:line="240" w:lineRule="auto"/>
      <w:ind w:left="720"/>
    </w:pPr>
    <w:rPr>
      <w:rFonts w:ascii="Calibri" w:hAnsi="Calibri" w:cs="Calibri"/>
    </w:rPr>
  </w:style>
  <w:style w:type="character" w:styleId="Strong">
    <w:name w:val="Strong"/>
    <w:basedOn w:val="DefaultParagraphFont"/>
    <w:uiPriority w:val="22"/>
    <w:qFormat/>
    <w:rsid w:val="00A948F7"/>
    <w:rPr>
      <w:b/>
      <w:bCs/>
    </w:rPr>
  </w:style>
  <w:style w:type="paragraph" w:styleId="PlainText">
    <w:name w:val="Plain Text"/>
    <w:basedOn w:val="Normal"/>
    <w:link w:val="PlainTextChar"/>
    <w:uiPriority w:val="99"/>
    <w:semiHidden/>
    <w:unhideWhenUsed/>
    <w:rsid w:val="00116495"/>
    <w:pPr>
      <w:spacing w:after="0" w:line="240" w:lineRule="auto"/>
    </w:pPr>
    <w:rPr>
      <w:rFonts w:ascii="Trebuchet MS" w:eastAsia="Times New Roman" w:hAnsi="Trebuchet MS" w:cs="Calibri"/>
      <w:sz w:val="20"/>
      <w:szCs w:val="21"/>
      <w:lang w:eastAsia="nl-NL"/>
    </w:rPr>
  </w:style>
  <w:style w:type="character" w:customStyle="1" w:styleId="PlainTextChar">
    <w:name w:val="Plain Text Char"/>
    <w:basedOn w:val="DefaultParagraphFont"/>
    <w:link w:val="PlainText"/>
    <w:uiPriority w:val="99"/>
    <w:semiHidden/>
    <w:rsid w:val="00116495"/>
    <w:rPr>
      <w:rFonts w:ascii="Trebuchet MS" w:eastAsia="Times New Roman" w:hAnsi="Trebuchet MS" w:cs="Calibri"/>
      <w:sz w:val="20"/>
      <w:szCs w:val="21"/>
      <w:lang w:eastAsia="nl-NL"/>
    </w:rPr>
  </w:style>
  <w:style w:type="paragraph" w:styleId="Revision">
    <w:name w:val="Revision"/>
    <w:hidden/>
    <w:uiPriority w:val="99"/>
    <w:semiHidden/>
    <w:rsid w:val="00CB2A4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0812467">
      <w:bodyDiv w:val="1"/>
      <w:marLeft w:val="0"/>
      <w:marRight w:val="0"/>
      <w:marTop w:val="0"/>
      <w:marBottom w:val="0"/>
      <w:divBdr>
        <w:top w:val="none" w:sz="0" w:space="0" w:color="auto"/>
        <w:left w:val="none" w:sz="0" w:space="0" w:color="auto"/>
        <w:bottom w:val="none" w:sz="0" w:space="0" w:color="auto"/>
        <w:right w:val="none" w:sz="0" w:space="0" w:color="auto"/>
      </w:divBdr>
    </w:div>
    <w:div w:id="1227185839">
      <w:bodyDiv w:val="1"/>
      <w:marLeft w:val="0"/>
      <w:marRight w:val="0"/>
      <w:marTop w:val="0"/>
      <w:marBottom w:val="0"/>
      <w:divBdr>
        <w:top w:val="none" w:sz="0" w:space="0" w:color="auto"/>
        <w:left w:val="none" w:sz="0" w:space="0" w:color="auto"/>
        <w:bottom w:val="none" w:sz="0" w:space="0" w:color="auto"/>
        <w:right w:val="none" w:sz="0" w:space="0" w:color="auto"/>
      </w:divBdr>
    </w:div>
    <w:div w:id="1360623351">
      <w:bodyDiv w:val="1"/>
      <w:marLeft w:val="0"/>
      <w:marRight w:val="0"/>
      <w:marTop w:val="0"/>
      <w:marBottom w:val="0"/>
      <w:divBdr>
        <w:top w:val="none" w:sz="0" w:space="0" w:color="auto"/>
        <w:left w:val="none" w:sz="0" w:space="0" w:color="auto"/>
        <w:bottom w:val="none" w:sz="0" w:space="0" w:color="auto"/>
        <w:right w:val="none" w:sz="0" w:space="0" w:color="auto"/>
      </w:divBdr>
    </w:div>
    <w:div w:id="1979533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2626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Marjolein Geus</dc:creator>
  <cp:lastModifiedBy>Yuji Develle</cp:lastModifiedBy>
  <cp:revision>2</cp:revision>
  <dcterms:created xsi:type="dcterms:W3CDTF">2023-08-25T07:55:00Z</dcterms:created>
  <dcterms:modified xsi:type="dcterms:W3CDTF">2023-08-25T07:55:00Z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BIManageDocNumber">
    <vt:lpwstr/>
  </property>
  <property fmtid="{D5CDD505-2E9C-101B-9397-08002B2CF9AE}" pid="3" name="BBIManageDocVersion">
    <vt:lpwstr/>
  </property>
  <property fmtid="{D5CDD505-2E9C-101B-9397-08002B2CF9AE}" pid="4" name="BBIManageDocWorkspace">
    <vt:lpwstr/>
  </property>
  <property fmtid="{D5CDD505-2E9C-101B-9397-08002B2CF9AE}" pid="5" name="BBIManageDocClient">
    <vt:lpwstr/>
  </property>
  <property fmtid="{D5CDD505-2E9C-101B-9397-08002B2CF9AE}" pid="6" name="BBIManageDocMatter">
    <vt:lpwstr/>
  </property>
  <property fmtid="{D5CDD505-2E9C-101B-9397-08002B2CF9AE}" pid="7" name="BBIManageDocLibrary">
    <vt:lpwstr/>
  </property>
  <property fmtid="{D5CDD505-2E9C-101B-9397-08002B2CF9AE}" pid="8" name="BBIManageDocDescription">
    <vt:lpwstr/>
  </property>
  <property fmtid="{D5CDD505-2E9C-101B-9397-08002B2CF9AE}" pid="9" name="BBIManageDocFolder">
    <vt:lpwstr/>
  </property>
  <property fmtid="{D5CDD505-2E9C-101B-9397-08002B2CF9AE}" pid="10" name="BBDocRef">
    <vt:lpwstr/>
  </property>
</Properties>
</file>